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67" w:rsidRPr="005F7767" w:rsidRDefault="005F7767" w:rsidP="005F7767">
      <w:pPr>
        <w:pStyle w:val="NoSpacing"/>
      </w:pPr>
      <w:bookmarkStart w:id="0" w:name="_GoBack"/>
      <w:bookmarkEnd w:id="0"/>
      <w:r w:rsidRPr="005F7767">
        <w:t>History 491 W</w:t>
      </w:r>
      <w:r w:rsidR="003914A1">
        <w:t xml:space="preserve">I / </w:t>
      </w:r>
      <w:r w:rsidR="003914A1" w:rsidRPr="003914A1">
        <w:rPr>
          <w:b/>
        </w:rPr>
        <w:t>Historiography</w:t>
      </w:r>
      <w:r w:rsidR="003914A1">
        <w:t xml:space="preserve"> / Spring 2012</w:t>
      </w:r>
    </w:p>
    <w:p w:rsidR="005F7767" w:rsidRPr="005F7767" w:rsidRDefault="005F7767" w:rsidP="005F7767">
      <w:pPr>
        <w:pStyle w:val="NoSpacing"/>
      </w:pPr>
    </w:p>
    <w:p w:rsidR="005F7767" w:rsidRPr="00E81FAF" w:rsidRDefault="005F7767" w:rsidP="005F7767">
      <w:pPr>
        <w:pStyle w:val="NoSpacing"/>
        <w:rPr>
          <w:rFonts w:cstheme="minorHAnsi"/>
        </w:rPr>
      </w:pPr>
      <w:r w:rsidRPr="005F7767">
        <w:t xml:space="preserve">Class times </w:t>
      </w:r>
      <w:r w:rsidRPr="00E81FAF">
        <w:rPr>
          <w:rFonts w:cstheme="minorHAnsi"/>
        </w:rPr>
        <w:t>and location:  Tuesdays and Thursdays, 9:30-10:45 a.m., Evans Hall 206</w:t>
      </w:r>
    </w:p>
    <w:p w:rsidR="005F7767" w:rsidRPr="00E81FAF" w:rsidRDefault="005F7767" w:rsidP="005F7767">
      <w:pPr>
        <w:pStyle w:val="NoSpacing"/>
        <w:rPr>
          <w:rFonts w:cstheme="minorHAnsi"/>
        </w:rPr>
      </w:pPr>
      <w:r w:rsidRPr="00E81FAF">
        <w:rPr>
          <w:rFonts w:cstheme="minorHAnsi"/>
        </w:rPr>
        <w:t>Instructor:  Matt Stanard</w:t>
      </w:r>
    </w:p>
    <w:p w:rsidR="005F7767" w:rsidRPr="00E81FAF" w:rsidRDefault="005F7767" w:rsidP="005F7767">
      <w:pPr>
        <w:pStyle w:val="NoSpacing"/>
        <w:rPr>
          <w:rFonts w:cstheme="minorHAnsi"/>
        </w:rPr>
      </w:pPr>
      <w:r w:rsidRPr="00E81FAF">
        <w:rPr>
          <w:rFonts w:cstheme="minorHAnsi"/>
        </w:rPr>
        <w:t>Email:  mstanard@berry.edu</w:t>
      </w:r>
    </w:p>
    <w:p w:rsidR="005F7767" w:rsidRPr="00E81FAF" w:rsidRDefault="005F7767" w:rsidP="005F7767">
      <w:pPr>
        <w:pStyle w:val="NoSpacing"/>
        <w:rPr>
          <w:rFonts w:cstheme="minorHAnsi"/>
        </w:rPr>
      </w:pPr>
      <w:r w:rsidRPr="00E81FAF">
        <w:rPr>
          <w:rFonts w:cstheme="minorHAnsi"/>
        </w:rPr>
        <w:t>Telephone:  706-290-2157</w:t>
      </w:r>
    </w:p>
    <w:p w:rsidR="005F7767" w:rsidRPr="00E81FAF" w:rsidRDefault="003914A1" w:rsidP="005F7767">
      <w:pPr>
        <w:pStyle w:val="NoSpacing"/>
        <w:rPr>
          <w:rFonts w:cstheme="minorHAnsi"/>
        </w:rPr>
      </w:pPr>
      <w:r>
        <w:rPr>
          <w:rFonts w:cstheme="minorHAnsi"/>
        </w:rPr>
        <w:t>Office:  Evans Hall 131</w:t>
      </w:r>
    </w:p>
    <w:p w:rsidR="005F7767" w:rsidRPr="00E81FAF" w:rsidRDefault="005F7767" w:rsidP="005F7767">
      <w:pPr>
        <w:pStyle w:val="NoSpacing"/>
        <w:rPr>
          <w:rFonts w:cstheme="minorHAnsi"/>
        </w:rPr>
      </w:pPr>
      <w:r w:rsidRPr="00E81FAF">
        <w:rPr>
          <w:rFonts w:cstheme="minorHAnsi"/>
        </w:rPr>
        <w:t xml:space="preserve">Office hours: </w:t>
      </w:r>
      <w:r w:rsidR="00E81FAF" w:rsidRPr="00E81FAF">
        <w:rPr>
          <w:rFonts w:cstheme="minorHAnsi"/>
        </w:rPr>
        <w:t>Mon., Wed., Fri. 10-12 &amp; Mon. 1-5</w:t>
      </w:r>
      <w:r w:rsidRPr="00E81FAF">
        <w:rPr>
          <w:rFonts w:cstheme="minorHAnsi"/>
        </w:rPr>
        <w:t>, and by appointment</w:t>
      </w:r>
    </w:p>
    <w:p w:rsidR="005F7767" w:rsidRPr="00E81FAF" w:rsidRDefault="005F7767" w:rsidP="005F7767">
      <w:pPr>
        <w:pStyle w:val="NoSpacing"/>
        <w:rPr>
          <w:rFonts w:cstheme="minorHAnsi"/>
        </w:rPr>
      </w:pPr>
    </w:p>
    <w:p w:rsidR="005F7767" w:rsidRPr="00E81FAF" w:rsidRDefault="005F7767" w:rsidP="005F7767">
      <w:pPr>
        <w:pStyle w:val="NoSpacing"/>
        <w:rPr>
          <w:rFonts w:cstheme="minorHAnsi"/>
          <w:u w:val="single"/>
        </w:rPr>
      </w:pPr>
      <w:r w:rsidRPr="00E81FAF">
        <w:rPr>
          <w:rFonts w:cstheme="minorHAnsi"/>
          <w:u w:val="single"/>
        </w:rPr>
        <w:t>Course description</w:t>
      </w:r>
    </w:p>
    <w:p w:rsidR="005F7767" w:rsidRPr="00E81FAF" w:rsidRDefault="005F7767" w:rsidP="005F7767">
      <w:pPr>
        <w:pStyle w:val="NoSpacing"/>
        <w:rPr>
          <w:rFonts w:cstheme="minorHAnsi"/>
        </w:rPr>
      </w:pPr>
      <w:r w:rsidRPr="00E81FAF">
        <w:rPr>
          <w:rFonts w:cstheme="minorHAnsi"/>
        </w:rPr>
        <w:t>Emphasis on review of the literature of historical inquiry ranging from antiquity to the present and analysis of the methodologies, interpretations, values, evidence and conclusions found in the diversity of historical writings.</w:t>
      </w:r>
    </w:p>
    <w:p w:rsidR="005F7767" w:rsidRPr="00E81FAF" w:rsidRDefault="005F7767" w:rsidP="005F7767">
      <w:pPr>
        <w:pStyle w:val="NoSpacing"/>
        <w:rPr>
          <w:rFonts w:cstheme="minorHAnsi"/>
        </w:rPr>
      </w:pPr>
    </w:p>
    <w:p w:rsidR="005F7767" w:rsidRPr="00E81FAF" w:rsidRDefault="005F7767" w:rsidP="005F7767">
      <w:pPr>
        <w:pStyle w:val="NoSpacing"/>
        <w:rPr>
          <w:rFonts w:cstheme="minorHAnsi"/>
          <w:u w:val="single"/>
        </w:rPr>
      </w:pPr>
      <w:r w:rsidRPr="00E81FAF">
        <w:rPr>
          <w:rFonts w:cstheme="minorHAnsi"/>
          <w:u w:val="single"/>
        </w:rPr>
        <w:t>Course goals</w:t>
      </w:r>
    </w:p>
    <w:p w:rsidR="005F7767" w:rsidRPr="00E81FAF" w:rsidRDefault="005F7767" w:rsidP="005F7767">
      <w:pPr>
        <w:pStyle w:val="NoSpacing"/>
        <w:rPr>
          <w:rFonts w:cstheme="minorHAnsi"/>
        </w:rPr>
      </w:pPr>
      <w:r w:rsidRPr="00E81FAF">
        <w:rPr>
          <w:rFonts w:cstheme="minorHAnsi"/>
        </w:rPr>
        <w:t>As the capstone course for history majors, the goal of History 491 WI is to introduce students to historiography, which is the principals, theory, and history of historical writing.  The course will achieve this in two ways, the first being by having students read and discuss a number of key texts on historiography and writing history that demonstrate how the principals and theories of historical writing have changed over time, with an emphasis on the period since German historian Leopold von Ranke</w:t>
      </w:r>
      <w:r w:rsidR="00F06AFF">
        <w:rPr>
          <w:rFonts w:cstheme="minorHAnsi"/>
        </w:rPr>
        <w:t xml:space="preserve"> (1795-1886)</w:t>
      </w:r>
      <w:r w:rsidRPr="00E81FAF">
        <w:rPr>
          <w:rFonts w:cstheme="minorHAnsi"/>
        </w:rPr>
        <w:t xml:space="preserve">.  Second, each student will explore the history of </w:t>
      </w:r>
      <w:r w:rsidR="003914A1">
        <w:rPr>
          <w:rFonts w:cstheme="minorHAnsi"/>
        </w:rPr>
        <w:t xml:space="preserve">historical writing </w:t>
      </w:r>
      <w:r w:rsidR="00F06AFF">
        <w:rPr>
          <w:rFonts w:cstheme="minorHAnsi"/>
        </w:rPr>
        <w:t xml:space="preserve">through practice: namely, </w:t>
      </w:r>
      <w:r w:rsidR="003914A1">
        <w:rPr>
          <w:rFonts w:cstheme="minorHAnsi"/>
        </w:rPr>
        <w:t>by crafting their own</w:t>
      </w:r>
      <w:r w:rsidRPr="00E81FAF">
        <w:rPr>
          <w:rFonts w:cstheme="minorHAnsi"/>
        </w:rPr>
        <w:t xml:space="preserve"> historiographical essay.  The course is designed such that students can develop an appreciation for the complexity of the study of history and historical writing, as well as how the study of history has changed over time.  Students are expected to improve their ability to read and analyze texts, as well as their ability to express themselves orally and in writing.  </w:t>
      </w:r>
    </w:p>
    <w:p w:rsidR="005F7767" w:rsidRPr="005F7767" w:rsidRDefault="005F7767" w:rsidP="005F7767">
      <w:pPr>
        <w:pStyle w:val="NoSpacing"/>
      </w:pPr>
    </w:p>
    <w:p w:rsidR="005F7767" w:rsidRPr="005F7767" w:rsidRDefault="005F7767" w:rsidP="005F7767">
      <w:pPr>
        <w:pStyle w:val="NoSpacing"/>
        <w:rPr>
          <w:u w:val="single"/>
        </w:rPr>
      </w:pPr>
      <w:r w:rsidRPr="005F7767">
        <w:rPr>
          <w:u w:val="single"/>
        </w:rPr>
        <w:t>Required readings</w:t>
      </w:r>
    </w:p>
    <w:p w:rsidR="005F7767" w:rsidRPr="005F7767" w:rsidRDefault="005F7767" w:rsidP="005F7767">
      <w:pPr>
        <w:pStyle w:val="NoSpacing"/>
      </w:pPr>
      <w:r w:rsidRPr="005F7767">
        <w:t xml:space="preserve">Mark T. Gilderhus, </w:t>
      </w:r>
      <w:r w:rsidRPr="005F7767">
        <w:rPr>
          <w:i/>
        </w:rPr>
        <w:t>History and Historians: A Historiographical Introduction</w:t>
      </w:r>
      <w:r w:rsidRPr="005F7767">
        <w:t>. 7th ed. (Upper Saddle River, N.J.: Prentice Hall, 2010).</w:t>
      </w:r>
    </w:p>
    <w:p w:rsidR="005F7767" w:rsidRPr="005F7767" w:rsidRDefault="005F7767" w:rsidP="005F7767">
      <w:pPr>
        <w:pStyle w:val="NoSpacing"/>
      </w:pPr>
      <w:r w:rsidRPr="005F7767">
        <w:t xml:space="preserve">Other readings indicated on the course calendar.  Readings that are underlined are available on electronic reserve at Memorial Library. </w:t>
      </w:r>
    </w:p>
    <w:p w:rsidR="005F7767" w:rsidRPr="005F7767" w:rsidRDefault="005F7767" w:rsidP="005F7767">
      <w:pPr>
        <w:pStyle w:val="NoSpacing"/>
      </w:pPr>
    </w:p>
    <w:p w:rsidR="005F7767" w:rsidRPr="005F7767" w:rsidRDefault="005F7767" w:rsidP="005F7767">
      <w:pPr>
        <w:pStyle w:val="NoSpacing"/>
        <w:rPr>
          <w:u w:val="single"/>
        </w:rPr>
      </w:pPr>
      <w:r w:rsidRPr="005F7767">
        <w:rPr>
          <w:u w:val="single"/>
        </w:rPr>
        <w:t>Attendance policy</w:t>
      </w:r>
    </w:p>
    <w:p w:rsidR="005F7767" w:rsidRPr="005F7767" w:rsidRDefault="005F7767" w:rsidP="005F7767">
      <w:pPr>
        <w:pStyle w:val="NoSpacing"/>
      </w:pPr>
      <w:r w:rsidRPr="005F7767">
        <w:t>The College stipulates that students attend class and that instructors note class attendance.  If you choose to use the time of our class meetings to do something e</w:t>
      </w:r>
      <w:r w:rsidR="003914A1">
        <w:t xml:space="preserve">lse, that is up to you.  </w:t>
      </w:r>
      <w:r w:rsidR="00EB75EB">
        <w:t>R</w:t>
      </w:r>
      <w:r w:rsidR="003914A1">
        <w:t>emember that p</w:t>
      </w:r>
      <w:r w:rsidRPr="005F7767">
        <w:t>articipation makes up n</w:t>
      </w:r>
      <w:r w:rsidR="00AD5181">
        <w:t>early half the final grade.  Y</w:t>
      </w:r>
      <w:r w:rsidRPr="005F7767">
        <w:t xml:space="preserve">ou cannot participate if you are absent.  </w:t>
      </w:r>
    </w:p>
    <w:p w:rsidR="005F7767" w:rsidRPr="005F7767" w:rsidRDefault="005F7767" w:rsidP="005F7767">
      <w:pPr>
        <w:pStyle w:val="NoSpacing"/>
      </w:pPr>
    </w:p>
    <w:p w:rsidR="005F7767" w:rsidRPr="005F7767" w:rsidRDefault="005F7767" w:rsidP="005F7767">
      <w:pPr>
        <w:pStyle w:val="NoSpacing"/>
        <w:rPr>
          <w:u w:val="single"/>
        </w:rPr>
      </w:pPr>
      <w:r w:rsidRPr="005F7767">
        <w:rPr>
          <w:u w:val="single"/>
        </w:rPr>
        <w:t>Accommodation statement</w:t>
      </w:r>
    </w:p>
    <w:p w:rsidR="005F7767" w:rsidRDefault="005F7767" w:rsidP="005F7767">
      <w:pPr>
        <w:pStyle w:val="NoSpacing"/>
      </w:pPr>
      <w:r w:rsidRPr="005F7767">
        <w:t xml:space="preserve">Students with a disability who believe they may need accommodation should contact the Academic Support Center in </w:t>
      </w:r>
      <w:r w:rsidR="003914A1">
        <w:t>Memorial Library</w:t>
      </w:r>
      <w:r w:rsidR="00EB75EB">
        <w:t xml:space="preserve"> (ext. 4080)</w:t>
      </w:r>
      <w:r w:rsidRPr="005F7767">
        <w:t xml:space="preserve">.  </w:t>
      </w:r>
    </w:p>
    <w:p w:rsidR="003914A1" w:rsidRDefault="003914A1" w:rsidP="005F7767">
      <w:pPr>
        <w:pStyle w:val="NoSpacing"/>
      </w:pPr>
    </w:p>
    <w:p w:rsidR="00EB75EB" w:rsidRPr="005F7767" w:rsidRDefault="00EB75EB" w:rsidP="005F7767">
      <w:pPr>
        <w:pStyle w:val="NoSpacing"/>
      </w:pPr>
    </w:p>
    <w:p w:rsidR="005F7767" w:rsidRPr="005F7767" w:rsidRDefault="005F7767" w:rsidP="005F7767">
      <w:pPr>
        <w:pStyle w:val="NoSpacing"/>
        <w:rPr>
          <w:u w:val="single"/>
        </w:rPr>
      </w:pPr>
      <w:r w:rsidRPr="005F7767">
        <w:rPr>
          <w:u w:val="single"/>
        </w:rPr>
        <w:lastRenderedPageBreak/>
        <w:t>Course requirements (grading)</w:t>
      </w:r>
    </w:p>
    <w:p w:rsidR="005F7767" w:rsidRPr="005F7767" w:rsidRDefault="005F7767" w:rsidP="005F7767">
      <w:pPr>
        <w:pStyle w:val="NoSpacing"/>
      </w:pPr>
      <w:r w:rsidRPr="005F7767">
        <w:t>Class participation</w:t>
      </w:r>
      <w:r w:rsidRPr="005F7767">
        <w:tab/>
      </w:r>
      <w:r w:rsidRPr="005F7767">
        <w:tab/>
      </w:r>
      <w:r w:rsidRPr="005F7767">
        <w:tab/>
      </w:r>
      <w:r w:rsidRPr="005F7767">
        <w:tab/>
      </w:r>
      <w:r w:rsidRPr="005F7767">
        <w:tab/>
        <w:t>40%</w:t>
      </w:r>
    </w:p>
    <w:p w:rsidR="005F7767" w:rsidRPr="005F7767" w:rsidRDefault="005F7767" w:rsidP="005F7767">
      <w:pPr>
        <w:pStyle w:val="NoSpacing"/>
      </w:pPr>
      <w:r w:rsidRPr="005F7767">
        <w:t>2 in-class presentations of common readings</w:t>
      </w:r>
      <w:r w:rsidRPr="005F7767">
        <w:tab/>
      </w:r>
      <w:r w:rsidRPr="005F7767">
        <w:tab/>
        <w:t>3% each</w:t>
      </w:r>
    </w:p>
    <w:p w:rsidR="005F7767" w:rsidRPr="005F7767" w:rsidRDefault="005F7767" w:rsidP="005F7767">
      <w:pPr>
        <w:pStyle w:val="NoSpacing"/>
      </w:pPr>
      <w:r w:rsidRPr="005F7767">
        <w:t>2 brief write-ups of common readings</w:t>
      </w:r>
      <w:r w:rsidRPr="005F7767">
        <w:tab/>
      </w:r>
      <w:r w:rsidRPr="005F7767">
        <w:tab/>
      </w:r>
      <w:r w:rsidR="00661B6A">
        <w:tab/>
      </w:r>
      <w:r w:rsidRPr="005F7767">
        <w:t>2% each</w:t>
      </w:r>
    </w:p>
    <w:p w:rsidR="005F7767" w:rsidRPr="005F7767" w:rsidRDefault="005F7767" w:rsidP="005F7767">
      <w:pPr>
        <w:pStyle w:val="NoSpacing"/>
      </w:pPr>
      <w:r w:rsidRPr="005F7767">
        <w:t>One annotated bibliography</w:t>
      </w:r>
      <w:r w:rsidRPr="005F7767">
        <w:tab/>
      </w:r>
      <w:r w:rsidRPr="005F7767">
        <w:tab/>
      </w:r>
      <w:r w:rsidRPr="005F7767">
        <w:tab/>
      </w:r>
      <w:r w:rsidRPr="005F7767">
        <w:tab/>
        <w:t>8%</w:t>
      </w:r>
    </w:p>
    <w:p w:rsidR="005F7767" w:rsidRPr="005F7767" w:rsidRDefault="005F7767" w:rsidP="005F7767">
      <w:pPr>
        <w:pStyle w:val="NoSpacing"/>
      </w:pPr>
      <w:r w:rsidRPr="005F7767">
        <w:t>One peer review</w:t>
      </w:r>
      <w:r w:rsidRPr="005F7767">
        <w:tab/>
      </w:r>
      <w:r w:rsidRPr="005F7767">
        <w:tab/>
      </w:r>
      <w:r w:rsidRPr="005F7767">
        <w:tab/>
      </w:r>
      <w:r w:rsidRPr="005F7767">
        <w:tab/>
      </w:r>
      <w:r w:rsidRPr="005F7767">
        <w:tab/>
        <w:t>2%</w:t>
      </w:r>
    </w:p>
    <w:p w:rsidR="005F7767" w:rsidRPr="005F7767" w:rsidRDefault="005F7767" w:rsidP="005F7767">
      <w:pPr>
        <w:pStyle w:val="NoSpacing"/>
        <w:rPr>
          <w:u w:val="single"/>
        </w:rPr>
      </w:pPr>
      <w:r w:rsidRPr="005F7767">
        <w:rPr>
          <w:u w:val="single"/>
        </w:rPr>
        <w:t>Final paper</w:t>
      </w:r>
      <w:r w:rsidRPr="005F7767">
        <w:rPr>
          <w:u w:val="single"/>
        </w:rPr>
        <w:tab/>
      </w:r>
      <w:r w:rsidRPr="005F7767">
        <w:rPr>
          <w:u w:val="single"/>
        </w:rPr>
        <w:tab/>
      </w:r>
      <w:r w:rsidRPr="005F7767">
        <w:rPr>
          <w:u w:val="single"/>
        </w:rPr>
        <w:tab/>
      </w:r>
      <w:r w:rsidRPr="005F7767">
        <w:rPr>
          <w:u w:val="single"/>
        </w:rPr>
        <w:tab/>
      </w:r>
      <w:r w:rsidRPr="005F7767">
        <w:rPr>
          <w:u w:val="single"/>
        </w:rPr>
        <w:tab/>
      </w:r>
      <w:r w:rsidRPr="005F7767">
        <w:rPr>
          <w:u w:val="single"/>
        </w:rPr>
        <w:tab/>
        <w:t>40%</w:t>
      </w:r>
      <w:r w:rsidRPr="005F7767">
        <w:rPr>
          <w:u w:val="single"/>
        </w:rPr>
        <w:tab/>
      </w:r>
      <w:r w:rsidRPr="005F7767">
        <w:rPr>
          <w:u w:val="single"/>
        </w:rPr>
        <w:tab/>
      </w:r>
    </w:p>
    <w:p w:rsidR="005F7767" w:rsidRPr="005F7767" w:rsidRDefault="005F7767" w:rsidP="005F7767">
      <w:pPr>
        <w:pStyle w:val="NoSpacing"/>
      </w:pPr>
      <w:r w:rsidRPr="005F7767">
        <w:t>Total</w:t>
      </w:r>
      <w:r w:rsidRPr="005F7767">
        <w:tab/>
      </w:r>
      <w:r w:rsidRPr="005F7767">
        <w:tab/>
      </w:r>
      <w:r w:rsidRPr="005F7767">
        <w:tab/>
      </w:r>
      <w:r w:rsidRPr="005F7767">
        <w:tab/>
      </w:r>
      <w:r w:rsidRPr="005F7767">
        <w:tab/>
      </w:r>
      <w:r w:rsidRPr="005F7767">
        <w:tab/>
      </w:r>
      <w:r w:rsidRPr="005F7767">
        <w:tab/>
        <w:t>100%</w:t>
      </w:r>
    </w:p>
    <w:p w:rsidR="005F7767" w:rsidRPr="005F7767" w:rsidRDefault="005F7767" w:rsidP="005F7767">
      <w:pPr>
        <w:pStyle w:val="NoSpacing"/>
        <w:rPr>
          <w:u w:val="single"/>
        </w:rPr>
      </w:pPr>
    </w:p>
    <w:p w:rsidR="005F7767" w:rsidRPr="005F7767" w:rsidRDefault="005F7767" w:rsidP="005F7767">
      <w:pPr>
        <w:pStyle w:val="NoSpacing"/>
      </w:pPr>
      <w:r w:rsidRPr="005F7767">
        <w:t xml:space="preserve">Each student will present two of the non-textbook common readings in class and lead discussion of them.  Each student also will write two brief reading summaries on the non-textbook course readings; these cannot be the same readings you choose for your in-class presentations.  Each student is required to come </w:t>
      </w:r>
      <w:r w:rsidR="00AB0BE0">
        <w:t>prepared to every class meeting</w:t>
      </w:r>
      <w:r w:rsidRPr="005F7767">
        <w:t xml:space="preserve"> and to participate in</w:t>
      </w:r>
      <w:r w:rsidR="00AB0BE0">
        <w:t xml:space="preserve"> all</w:t>
      </w:r>
      <w:r w:rsidRPr="005F7767">
        <w:t xml:space="preserve"> discussions.  Each student will write an annotated bibliography and review the annotated bibliography of one of her/his peers.  The annotated bibliography will serve as the basis for the final paper, which will be a historiographical essay on one person, school of thought, major historical event/development, or key historiographical debate.  Instructions for the annotated bibliography and the final paper will be handed out separately.</w:t>
      </w:r>
    </w:p>
    <w:p w:rsidR="005F7767" w:rsidRPr="005F7767" w:rsidRDefault="005F7767" w:rsidP="005F7767">
      <w:pPr>
        <w:pStyle w:val="NoSpacing"/>
      </w:pPr>
    </w:p>
    <w:p w:rsidR="005F7767" w:rsidRPr="005F7767" w:rsidRDefault="005F7767" w:rsidP="005F7767">
      <w:pPr>
        <w:pStyle w:val="NoSpacing"/>
        <w:rPr>
          <w:u w:val="single"/>
        </w:rPr>
      </w:pPr>
      <w:r w:rsidRPr="005F7767">
        <w:rPr>
          <w:u w:val="single"/>
        </w:rPr>
        <w:t>Grading scale</w:t>
      </w:r>
    </w:p>
    <w:p w:rsidR="005F7767" w:rsidRPr="005F7767" w:rsidRDefault="005F7767" w:rsidP="005F7767">
      <w:pPr>
        <w:pStyle w:val="NoSpacing"/>
      </w:pPr>
      <w:r w:rsidRPr="005F7767">
        <w:t>The grading scale for this course is as follows:</w:t>
      </w:r>
    </w:p>
    <w:p w:rsidR="005F7767" w:rsidRPr="005F7767" w:rsidRDefault="005F7767" w:rsidP="005F7767">
      <w:pPr>
        <w:pStyle w:val="NoSpacing"/>
      </w:pPr>
      <w:r w:rsidRPr="005F7767">
        <w:t>97-100</w:t>
      </w:r>
      <w:r w:rsidRPr="005F7767">
        <w:tab/>
        <w:t>= A+</w:t>
      </w:r>
      <w:r w:rsidRPr="005F7767">
        <w:tab/>
      </w:r>
      <w:r w:rsidRPr="005F7767">
        <w:tab/>
      </w:r>
      <w:r w:rsidRPr="005F7767">
        <w:tab/>
        <w:t>87-89</w:t>
      </w:r>
      <w:r w:rsidRPr="005F7767">
        <w:tab/>
        <w:t>= B+</w:t>
      </w:r>
      <w:r w:rsidRPr="005F7767">
        <w:tab/>
      </w:r>
      <w:r w:rsidRPr="005F7767">
        <w:tab/>
      </w:r>
      <w:r w:rsidRPr="005F7767">
        <w:tab/>
        <w:t>77-79</w:t>
      </w:r>
      <w:r w:rsidRPr="005F7767">
        <w:tab/>
        <w:t>= C+</w:t>
      </w:r>
      <w:r w:rsidRPr="005F7767">
        <w:tab/>
      </w:r>
      <w:r w:rsidRPr="005F7767">
        <w:tab/>
      </w:r>
      <w:r w:rsidRPr="005F7767">
        <w:tab/>
        <w:t>67-69</w:t>
      </w:r>
      <w:r w:rsidRPr="005F7767">
        <w:tab/>
        <w:t>= D+</w:t>
      </w:r>
    </w:p>
    <w:p w:rsidR="005F7767" w:rsidRPr="005F7767" w:rsidRDefault="005F7767" w:rsidP="005F7767">
      <w:pPr>
        <w:pStyle w:val="NoSpacing"/>
      </w:pPr>
      <w:r w:rsidRPr="005F7767">
        <w:t>93-96</w:t>
      </w:r>
      <w:r w:rsidRPr="005F7767">
        <w:tab/>
        <w:t>= A</w:t>
      </w:r>
      <w:r w:rsidRPr="005F7767">
        <w:tab/>
      </w:r>
      <w:r w:rsidRPr="005F7767">
        <w:tab/>
      </w:r>
      <w:r w:rsidRPr="005F7767">
        <w:tab/>
        <w:t>83-86</w:t>
      </w:r>
      <w:r w:rsidRPr="005F7767">
        <w:tab/>
        <w:t>= B</w:t>
      </w:r>
      <w:r w:rsidRPr="005F7767">
        <w:tab/>
      </w:r>
      <w:r w:rsidRPr="005F7767">
        <w:tab/>
      </w:r>
      <w:r w:rsidRPr="005F7767">
        <w:tab/>
        <w:t>73-76</w:t>
      </w:r>
      <w:r w:rsidRPr="005F7767">
        <w:tab/>
        <w:t>= C</w:t>
      </w:r>
      <w:r w:rsidRPr="005F7767">
        <w:tab/>
      </w:r>
      <w:r w:rsidRPr="005F7767">
        <w:tab/>
      </w:r>
      <w:r w:rsidRPr="005F7767">
        <w:tab/>
        <w:t>63-66</w:t>
      </w:r>
      <w:r w:rsidRPr="005F7767">
        <w:tab/>
        <w:t xml:space="preserve">= D </w:t>
      </w:r>
    </w:p>
    <w:p w:rsidR="005F7767" w:rsidRPr="005F7767" w:rsidRDefault="005F7767" w:rsidP="005F7767">
      <w:pPr>
        <w:pStyle w:val="NoSpacing"/>
      </w:pPr>
      <w:r w:rsidRPr="005F7767">
        <w:t>90-92</w:t>
      </w:r>
      <w:r w:rsidRPr="005F7767">
        <w:tab/>
        <w:t>= A-</w:t>
      </w:r>
      <w:r w:rsidRPr="005F7767">
        <w:tab/>
      </w:r>
      <w:r w:rsidRPr="005F7767">
        <w:tab/>
      </w:r>
      <w:r w:rsidRPr="005F7767">
        <w:tab/>
        <w:t>80-82</w:t>
      </w:r>
      <w:r w:rsidRPr="005F7767">
        <w:tab/>
        <w:t>= B-</w:t>
      </w:r>
      <w:r w:rsidRPr="005F7767">
        <w:tab/>
      </w:r>
      <w:r w:rsidRPr="005F7767">
        <w:tab/>
      </w:r>
      <w:r w:rsidRPr="005F7767">
        <w:tab/>
        <w:t>70-72</w:t>
      </w:r>
      <w:r w:rsidRPr="005F7767">
        <w:tab/>
        <w:t>= C-</w:t>
      </w:r>
      <w:r w:rsidRPr="005F7767">
        <w:tab/>
      </w:r>
      <w:r w:rsidRPr="005F7767">
        <w:tab/>
      </w:r>
      <w:r w:rsidRPr="005F7767">
        <w:tab/>
        <w:t>60-62</w:t>
      </w:r>
      <w:r w:rsidRPr="005F7767">
        <w:tab/>
        <w:t>= D-</w:t>
      </w:r>
    </w:p>
    <w:p w:rsidR="005F7767" w:rsidRPr="005F7767" w:rsidRDefault="005F7767" w:rsidP="005F7767">
      <w:pPr>
        <w:pStyle w:val="NoSpacing"/>
      </w:pPr>
      <w:r w:rsidRPr="005F7767">
        <w:tab/>
      </w:r>
      <w:r w:rsidRPr="005F7767">
        <w:tab/>
      </w:r>
      <w:r w:rsidRPr="005F7767">
        <w:tab/>
      </w:r>
      <w:r w:rsidRPr="005F7767">
        <w:tab/>
      </w:r>
      <w:r w:rsidRPr="005F7767">
        <w:tab/>
      </w:r>
      <w:r w:rsidRPr="005F7767">
        <w:tab/>
      </w:r>
      <w:r w:rsidRPr="005F7767">
        <w:tab/>
      </w:r>
      <w:r w:rsidRPr="005F7767">
        <w:tab/>
      </w:r>
      <w:r w:rsidRPr="005F7767">
        <w:tab/>
      </w:r>
      <w:r w:rsidRPr="005F7767">
        <w:tab/>
      </w:r>
      <w:r w:rsidRPr="005F7767">
        <w:tab/>
      </w:r>
      <w:r w:rsidRPr="005F7767">
        <w:tab/>
        <w:t>59 and below = F</w:t>
      </w:r>
    </w:p>
    <w:p w:rsidR="005F7767" w:rsidRPr="005F7767" w:rsidRDefault="005F7767" w:rsidP="005F7767">
      <w:pPr>
        <w:pStyle w:val="NoSpacing"/>
      </w:pPr>
      <w:r w:rsidRPr="005F7767">
        <w:t>A range = superior work, i.e. exceptional university-level work</w:t>
      </w:r>
    </w:p>
    <w:p w:rsidR="005F7767" w:rsidRPr="005F7767" w:rsidRDefault="005F7767" w:rsidP="005F7767">
      <w:pPr>
        <w:pStyle w:val="NoSpacing"/>
      </w:pPr>
      <w:r w:rsidRPr="005F7767">
        <w:t>B range = above average work, i.e. very good university-level work</w:t>
      </w:r>
    </w:p>
    <w:p w:rsidR="005F7767" w:rsidRPr="005F7767" w:rsidRDefault="005F7767" w:rsidP="005F7767">
      <w:pPr>
        <w:pStyle w:val="NoSpacing"/>
      </w:pPr>
      <w:r w:rsidRPr="005F7767">
        <w:t>C range = average work, that is to say satisfactory or customary university-level work</w:t>
      </w:r>
    </w:p>
    <w:p w:rsidR="005F7767" w:rsidRPr="005F7767" w:rsidRDefault="005F7767" w:rsidP="005F7767">
      <w:pPr>
        <w:pStyle w:val="NoSpacing"/>
      </w:pPr>
      <w:r w:rsidRPr="005F7767">
        <w:t>D range = passing, yet unsatisfactory or below average work</w:t>
      </w:r>
    </w:p>
    <w:p w:rsidR="005F7767" w:rsidRPr="005F7767" w:rsidRDefault="005F7767" w:rsidP="005F7767">
      <w:pPr>
        <w:pStyle w:val="NoSpacing"/>
      </w:pPr>
      <w:r w:rsidRPr="005F7767">
        <w:t>F = failing work, that is to say insufficient, incomplete, or inferior work</w:t>
      </w:r>
    </w:p>
    <w:p w:rsidR="005F7767" w:rsidRPr="005F7767" w:rsidRDefault="005F7767" w:rsidP="005F7767">
      <w:pPr>
        <w:pStyle w:val="NoSpacing"/>
      </w:pPr>
    </w:p>
    <w:p w:rsidR="005F7767" w:rsidRPr="005F7767" w:rsidRDefault="005F7767" w:rsidP="005F7767">
      <w:pPr>
        <w:pStyle w:val="NoSpacing"/>
        <w:rPr>
          <w:u w:val="single"/>
        </w:rPr>
      </w:pPr>
      <w:r w:rsidRPr="005F7767">
        <w:rPr>
          <w:u w:val="single"/>
        </w:rPr>
        <w:t>Other course policies</w:t>
      </w:r>
    </w:p>
    <w:p w:rsidR="005F7767" w:rsidRDefault="005F7767" w:rsidP="005F7767">
      <w:pPr>
        <w:pStyle w:val="NoSpacing"/>
      </w:pPr>
      <w:r w:rsidRPr="005F7767">
        <w:t xml:space="preserve">Late assignments will not be accepted.  Cheating or plagiarism will not be tolerated and occurrences of such will result in severe penalties.  We will be doing some collective work—and of course </w:t>
      </w:r>
      <w:r w:rsidRPr="00395391">
        <w:rPr>
          <w:rFonts w:cstheme="minorHAnsi"/>
        </w:rPr>
        <w:t xml:space="preserve">you may study with your colleagues—but each student is required to work on his/her own to complete the assignments.  Each student is reminded of his/her responsibilities according to the Viking Code, the full text of which is available at </w:t>
      </w:r>
      <w:r w:rsidR="00395391" w:rsidRPr="00395391">
        <w:rPr>
          <w:rFonts w:cstheme="minorHAnsi"/>
        </w:rPr>
        <w:t>http://www.berry.edu/uploadedFiles/Student_Affairs/Viking_Code_Handbook/VikingCode1112.pdf</w:t>
      </w:r>
      <w:r w:rsidRPr="00395391">
        <w:rPr>
          <w:rFonts w:cstheme="minorHAnsi"/>
        </w:rPr>
        <w:t>.  The instructor reserves the right to make minor adjustments to the syllabus as necessary.</w:t>
      </w:r>
      <w:r w:rsidRPr="005F7767">
        <w:t xml:space="preserve">  </w:t>
      </w:r>
    </w:p>
    <w:p w:rsidR="00AB0BE0" w:rsidRPr="005F7767" w:rsidRDefault="00AB0BE0" w:rsidP="005F7767">
      <w:pPr>
        <w:pStyle w:val="NoSpacing"/>
      </w:pPr>
    </w:p>
    <w:p w:rsidR="005F7767" w:rsidRPr="005F7767" w:rsidRDefault="005F7767" w:rsidP="005F7767">
      <w:pPr>
        <w:pStyle w:val="NoSpacing"/>
        <w:rPr>
          <w:u w:val="single"/>
        </w:rPr>
      </w:pPr>
      <w:r w:rsidRPr="005F7767">
        <w:rPr>
          <w:u w:val="single"/>
        </w:rPr>
        <w:t>Course calendar</w:t>
      </w:r>
    </w:p>
    <w:p w:rsidR="005F7767" w:rsidRPr="005F7767" w:rsidRDefault="005F7767" w:rsidP="005F7767">
      <w:pPr>
        <w:pStyle w:val="NoSpacing"/>
        <w:rPr>
          <w:sz w:val="23"/>
        </w:rPr>
      </w:pPr>
    </w:p>
    <w:tbl>
      <w:tblPr>
        <w:tblStyle w:val="TableGrid"/>
        <w:tblW w:w="13788" w:type="dxa"/>
        <w:tblLook w:val="01E0" w:firstRow="1" w:lastRow="1" w:firstColumn="1" w:lastColumn="1" w:noHBand="0" w:noVBand="0"/>
      </w:tblPr>
      <w:tblGrid>
        <w:gridCol w:w="1724"/>
        <w:gridCol w:w="2369"/>
        <w:gridCol w:w="7535"/>
        <w:gridCol w:w="2160"/>
      </w:tblGrid>
      <w:tr w:rsidR="005F7767" w:rsidRPr="005F7767" w:rsidTr="00661B6A">
        <w:trPr>
          <w:cantSplit/>
        </w:trPr>
        <w:tc>
          <w:tcPr>
            <w:tcW w:w="1724" w:type="dxa"/>
          </w:tcPr>
          <w:p w:rsidR="005F7767" w:rsidRPr="005F7767" w:rsidRDefault="005F7767" w:rsidP="005F7767">
            <w:pPr>
              <w:pStyle w:val="NoSpacing"/>
              <w:rPr>
                <w:sz w:val="23"/>
              </w:rPr>
            </w:pPr>
            <w:r w:rsidRPr="005F7767">
              <w:rPr>
                <w:sz w:val="23"/>
              </w:rPr>
              <w:t>Date</w:t>
            </w:r>
          </w:p>
        </w:tc>
        <w:tc>
          <w:tcPr>
            <w:tcW w:w="2369" w:type="dxa"/>
          </w:tcPr>
          <w:p w:rsidR="005F7767" w:rsidRPr="005F7767" w:rsidRDefault="005F7767" w:rsidP="005F7767">
            <w:pPr>
              <w:pStyle w:val="NoSpacing"/>
              <w:rPr>
                <w:sz w:val="23"/>
              </w:rPr>
            </w:pPr>
            <w:r w:rsidRPr="005F7767">
              <w:rPr>
                <w:sz w:val="23"/>
              </w:rPr>
              <w:t>Class meeting subject</w:t>
            </w:r>
          </w:p>
        </w:tc>
        <w:tc>
          <w:tcPr>
            <w:tcW w:w="7535" w:type="dxa"/>
          </w:tcPr>
          <w:p w:rsidR="005F7767" w:rsidRPr="005F7767" w:rsidRDefault="005F7767" w:rsidP="005F7767">
            <w:pPr>
              <w:pStyle w:val="NoSpacing"/>
              <w:rPr>
                <w:sz w:val="23"/>
              </w:rPr>
            </w:pPr>
            <w:r w:rsidRPr="005F7767">
              <w:rPr>
                <w:sz w:val="23"/>
              </w:rPr>
              <w:t>Reading</w:t>
            </w:r>
          </w:p>
        </w:tc>
        <w:tc>
          <w:tcPr>
            <w:tcW w:w="2160" w:type="dxa"/>
          </w:tcPr>
          <w:p w:rsidR="005F7767" w:rsidRPr="005F7767" w:rsidRDefault="005F7767" w:rsidP="005F7767">
            <w:pPr>
              <w:pStyle w:val="NoSpacing"/>
              <w:rPr>
                <w:sz w:val="23"/>
              </w:rPr>
            </w:pPr>
            <w:r w:rsidRPr="005F7767">
              <w:rPr>
                <w:sz w:val="23"/>
              </w:rPr>
              <w:t>Assignment due</w:t>
            </w:r>
          </w:p>
        </w:tc>
      </w:tr>
      <w:tr w:rsidR="005F7767" w:rsidRPr="005F7767" w:rsidTr="00661B6A">
        <w:trPr>
          <w:cantSplit/>
        </w:trPr>
        <w:tc>
          <w:tcPr>
            <w:tcW w:w="1724" w:type="dxa"/>
            <w:tcBorders>
              <w:bottom w:val="single" w:sz="4" w:space="0" w:color="auto"/>
            </w:tcBorders>
          </w:tcPr>
          <w:p w:rsidR="005F7767" w:rsidRPr="005F7767" w:rsidRDefault="0046315F" w:rsidP="005F7767">
            <w:pPr>
              <w:pStyle w:val="NoSpacing"/>
              <w:rPr>
                <w:sz w:val="23"/>
              </w:rPr>
            </w:pPr>
            <w:r>
              <w:rPr>
                <w:sz w:val="23"/>
              </w:rPr>
              <w:t>Jan. 10</w:t>
            </w:r>
          </w:p>
        </w:tc>
        <w:tc>
          <w:tcPr>
            <w:tcW w:w="2369" w:type="dxa"/>
            <w:tcBorders>
              <w:bottom w:val="single" w:sz="4" w:space="0" w:color="auto"/>
            </w:tcBorders>
          </w:tcPr>
          <w:p w:rsidR="005F7767" w:rsidRPr="005F7767" w:rsidRDefault="005F7767" w:rsidP="005F7767">
            <w:pPr>
              <w:pStyle w:val="NoSpacing"/>
              <w:rPr>
                <w:sz w:val="23"/>
              </w:rPr>
            </w:pPr>
            <w:r w:rsidRPr="005F7767">
              <w:rPr>
                <w:sz w:val="23"/>
              </w:rPr>
              <w:t>Course introduction</w:t>
            </w:r>
          </w:p>
        </w:tc>
        <w:tc>
          <w:tcPr>
            <w:tcW w:w="7535" w:type="dxa"/>
            <w:tcBorders>
              <w:bottom w:val="single" w:sz="4" w:space="0" w:color="auto"/>
            </w:tcBorders>
          </w:tcPr>
          <w:p w:rsidR="005F7767" w:rsidRPr="005F7767" w:rsidRDefault="005F7767" w:rsidP="005F7767">
            <w:pPr>
              <w:pStyle w:val="NoSpacing"/>
              <w:rPr>
                <w:sz w:val="23"/>
              </w:rPr>
            </w:pPr>
            <w:r w:rsidRPr="005F7767">
              <w:rPr>
                <w:sz w:val="23"/>
              </w:rPr>
              <w:t>none</w:t>
            </w:r>
          </w:p>
        </w:tc>
        <w:tc>
          <w:tcPr>
            <w:tcW w:w="2160" w:type="dxa"/>
            <w:tcBorders>
              <w:bottom w:val="single" w:sz="4" w:space="0" w:color="auto"/>
            </w:tcBorders>
          </w:tcPr>
          <w:p w:rsidR="005F7767" w:rsidRPr="005F7767" w:rsidRDefault="005F7767" w:rsidP="005F7767">
            <w:pPr>
              <w:pStyle w:val="NoSpacing"/>
              <w:rPr>
                <w:sz w:val="23"/>
              </w:rPr>
            </w:pPr>
          </w:p>
        </w:tc>
      </w:tr>
      <w:tr w:rsidR="0046315F" w:rsidRPr="005F7767" w:rsidTr="00661B6A">
        <w:trPr>
          <w:cantSplit/>
        </w:trPr>
        <w:tc>
          <w:tcPr>
            <w:tcW w:w="1724" w:type="dxa"/>
            <w:tcBorders>
              <w:bottom w:val="single" w:sz="4" w:space="0" w:color="auto"/>
            </w:tcBorders>
          </w:tcPr>
          <w:p w:rsidR="0046315F" w:rsidRDefault="0046315F" w:rsidP="005F7767">
            <w:pPr>
              <w:pStyle w:val="NoSpacing"/>
              <w:rPr>
                <w:sz w:val="23"/>
              </w:rPr>
            </w:pPr>
            <w:r>
              <w:rPr>
                <w:sz w:val="23"/>
              </w:rPr>
              <w:t>Jan. 12</w:t>
            </w:r>
          </w:p>
        </w:tc>
        <w:tc>
          <w:tcPr>
            <w:tcW w:w="2369" w:type="dxa"/>
            <w:tcBorders>
              <w:bottom w:val="single" w:sz="4" w:space="0" w:color="auto"/>
            </w:tcBorders>
          </w:tcPr>
          <w:p w:rsidR="0046315F" w:rsidRPr="005F7767" w:rsidRDefault="00B24B58" w:rsidP="005F7767">
            <w:pPr>
              <w:pStyle w:val="NoSpacing"/>
              <w:rPr>
                <w:sz w:val="23"/>
              </w:rPr>
            </w:pPr>
            <w:r w:rsidRPr="005F7767">
              <w:rPr>
                <w:sz w:val="23"/>
              </w:rPr>
              <w:t>What is history?  What is historiography?</w:t>
            </w:r>
          </w:p>
        </w:tc>
        <w:tc>
          <w:tcPr>
            <w:tcW w:w="7535" w:type="dxa"/>
            <w:tcBorders>
              <w:bottom w:val="single" w:sz="4" w:space="0" w:color="auto"/>
            </w:tcBorders>
          </w:tcPr>
          <w:p w:rsidR="0046315F" w:rsidRPr="005F7767" w:rsidRDefault="00B24B58" w:rsidP="005F7767">
            <w:pPr>
              <w:pStyle w:val="NoSpacing"/>
              <w:rPr>
                <w:sz w:val="23"/>
              </w:rPr>
            </w:pPr>
            <w:r w:rsidRPr="005F7767">
              <w:rPr>
                <w:sz w:val="23"/>
              </w:rPr>
              <w:t xml:space="preserve">Gilderhus, </w:t>
            </w:r>
            <w:r w:rsidRPr="005F7767">
              <w:rPr>
                <w:i/>
                <w:sz w:val="23"/>
              </w:rPr>
              <w:t>History and Historians</w:t>
            </w:r>
            <w:r w:rsidRPr="005F7767">
              <w:rPr>
                <w:sz w:val="23"/>
              </w:rPr>
              <w:t xml:space="preserve">, 1-11; </w:t>
            </w:r>
            <w:r w:rsidRPr="005F7767">
              <w:rPr>
                <w:sz w:val="23"/>
                <w:u w:val="single"/>
              </w:rPr>
              <w:t>Ian Kershaw, “Hitler</w:t>
            </w:r>
            <w:r>
              <w:rPr>
                <w:sz w:val="23"/>
                <w:u w:val="single"/>
              </w:rPr>
              <w:t>: ‘master in the Third Reich’ or ‘weak dictator’?”</w:t>
            </w:r>
            <w:r w:rsidRPr="005F7767">
              <w:rPr>
                <w:sz w:val="23"/>
                <w:u w:val="single"/>
              </w:rPr>
              <w:t xml:space="preserve"> from </w:t>
            </w:r>
            <w:r w:rsidRPr="005F7767">
              <w:rPr>
                <w:i/>
                <w:sz w:val="23"/>
                <w:u w:val="single"/>
              </w:rPr>
              <w:t xml:space="preserve">The Nazi Dictatorship </w:t>
            </w:r>
            <w:r>
              <w:rPr>
                <w:sz w:val="23"/>
                <w:u w:val="single"/>
              </w:rPr>
              <w:t>(2000), 69</w:t>
            </w:r>
            <w:r w:rsidRPr="005F7767">
              <w:rPr>
                <w:sz w:val="23"/>
                <w:u w:val="single"/>
              </w:rPr>
              <w:t>-</w:t>
            </w:r>
            <w:r>
              <w:rPr>
                <w:sz w:val="23"/>
                <w:u w:val="single"/>
              </w:rPr>
              <w:t>92</w:t>
            </w:r>
            <w:r w:rsidRPr="005F7767">
              <w:rPr>
                <w:sz w:val="23"/>
              </w:rPr>
              <w:t>.</w:t>
            </w:r>
          </w:p>
        </w:tc>
        <w:tc>
          <w:tcPr>
            <w:tcW w:w="2160" w:type="dxa"/>
            <w:tcBorders>
              <w:bottom w:val="single" w:sz="4" w:space="0" w:color="auto"/>
            </w:tcBorders>
          </w:tcPr>
          <w:p w:rsidR="0046315F" w:rsidRPr="005F7767" w:rsidRDefault="0046315F"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46315F" w:rsidP="005F7767">
            <w:pPr>
              <w:pStyle w:val="NoSpacing"/>
              <w:rPr>
                <w:sz w:val="23"/>
              </w:rPr>
            </w:pPr>
            <w:r>
              <w:rPr>
                <w:sz w:val="23"/>
              </w:rPr>
              <w:t>Jan. 17</w:t>
            </w:r>
          </w:p>
        </w:tc>
        <w:tc>
          <w:tcPr>
            <w:tcW w:w="2369" w:type="dxa"/>
          </w:tcPr>
          <w:p w:rsidR="002F186C" w:rsidRPr="005F7767" w:rsidRDefault="002F186C" w:rsidP="002F186C">
            <w:pPr>
              <w:pStyle w:val="NoSpacing"/>
              <w:rPr>
                <w:sz w:val="23"/>
              </w:rPr>
            </w:pPr>
            <w:r w:rsidRPr="005F7767">
              <w:rPr>
                <w:sz w:val="23"/>
              </w:rPr>
              <w:t>1) Early historiography</w:t>
            </w:r>
          </w:p>
          <w:p w:rsidR="005F7767" w:rsidRPr="005F7767" w:rsidRDefault="002F186C" w:rsidP="002F186C">
            <w:pPr>
              <w:pStyle w:val="NoSpacing"/>
              <w:rPr>
                <w:sz w:val="23"/>
              </w:rPr>
            </w:pPr>
            <w:r w:rsidRPr="005F7767">
              <w:rPr>
                <w:sz w:val="23"/>
              </w:rPr>
              <w:t>2) Choosing and discussing paper topics</w:t>
            </w:r>
          </w:p>
        </w:tc>
        <w:tc>
          <w:tcPr>
            <w:tcW w:w="7535" w:type="dxa"/>
          </w:tcPr>
          <w:p w:rsidR="002F186C" w:rsidRPr="005F7767" w:rsidRDefault="002F186C" w:rsidP="002F186C">
            <w:pPr>
              <w:pStyle w:val="NoSpacing"/>
              <w:rPr>
                <w:sz w:val="23"/>
              </w:rPr>
            </w:pPr>
            <w:r w:rsidRPr="005F7767">
              <w:rPr>
                <w:sz w:val="23"/>
              </w:rPr>
              <w:t>Gilderhus, 12-28.</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5F7767" w:rsidP="005F7767">
            <w:pPr>
              <w:pStyle w:val="NoSpacing"/>
              <w:rPr>
                <w:sz w:val="23"/>
              </w:rPr>
            </w:pPr>
            <w:r w:rsidRPr="005F7767">
              <w:rPr>
                <w:sz w:val="23"/>
              </w:rPr>
              <w:t xml:space="preserve">Jan. </w:t>
            </w:r>
            <w:r w:rsidR="0046315F">
              <w:rPr>
                <w:sz w:val="23"/>
              </w:rPr>
              <w:t>19</w:t>
            </w:r>
          </w:p>
        </w:tc>
        <w:tc>
          <w:tcPr>
            <w:tcW w:w="2369" w:type="dxa"/>
            <w:tcBorders>
              <w:bottom w:val="single" w:sz="4" w:space="0" w:color="auto"/>
            </w:tcBorders>
          </w:tcPr>
          <w:p w:rsidR="002F186C" w:rsidRPr="005F7767" w:rsidRDefault="002F186C" w:rsidP="002F186C">
            <w:pPr>
              <w:pStyle w:val="NoSpacing"/>
              <w:rPr>
                <w:sz w:val="23"/>
              </w:rPr>
            </w:pPr>
            <w:r w:rsidRPr="005F7767">
              <w:rPr>
                <w:sz w:val="23"/>
              </w:rPr>
              <w:t>1) Historiography to the 19th Century</w:t>
            </w:r>
          </w:p>
          <w:p w:rsidR="005F7767" w:rsidRPr="005F7767" w:rsidRDefault="002F186C" w:rsidP="002F186C">
            <w:pPr>
              <w:pStyle w:val="NoSpacing"/>
              <w:rPr>
                <w:sz w:val="23"/>
              </w:rPr>
            </w:pPr>
            <w:r w:rsidRPr="005F7767">
              <w:rPr>
                <w:sz w:val="23"/>
              </w:rPr>
              <w:t>2) Choosing and discussing paper topics</w:t>
            </w:r>
          </w:p>
        </w:tc>
        <w:tc>
          <w:tcPr>
            <w:tcW w:w="7535" w:type="dxa"/>
            <w:tcBorders>
              <w:bottom w:val="single" w:sz="4" w:space="0" w:color="auto"/>
            </w:tcBorders>
          </w:tcPr>
          <w:p w:rsidR="005F7767" w:rsidRPr="005F7767" w:rsidRDefault="002F186C" w:rsidP="005F7767">
            <w:pPr>
              <w:pStyle w:val="NoSpacing"/>
              <w:rPr>
                <w:sz w:val="23"/>
              </w:rPr>
            </w:pPr>
            <w:r w:rsidRPr="005F7767">
              <w:rPr>
                <w:sz w:val="23"/>
              </w:rPr>
              <w:t>Gilderhus, 29-49.</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46315F" w:rsidP="005F7767">
            <w:pPr>
              <w:pStyle w:val="NoSpacing"/>
              <w:rPr>
                <w:sz w:val="23"/>
              </w:rPr>
            </w:pPr>
            <w:r>
              <w:rPr>
                <w:sz w:val="23"/>
              </w:rPr>
              <w:t>Jan. 24</w:t>
            </w:r>
          </w:p>
        </w:tc>
        <w:tc>
          <w:tcPr>
            <w:tcW w:w="2369" w:type="dxa"/>
          </w:tcPr>
          <w:p w:rsidR="005F7767" w:rsidRPr="005F7767" w:rsidRDefault="00774279" w:rsidP="005F7767">
            <w:pPr>
              <w:pStyle w:val="NoSpacing"/>
              <w:rPr>
                <w:sz w:val="23"/>
              </w:rPr>
            </w:pPr>
            <w:r>
              <w:rPr>
                <w:sz w:val="23"/>
              </w:rPr>
              <w:t>S</w:t>
            </w:r>
            <w:r w:rsidRPr="005F7767">
              <w:rPr>
                <w:sz w:val="23"/>
              </w:rPr>
              <w:t>peculative approaches to history</w:t>
            </w:r>
          </w:p>
        </w:tc>
        <w:tc>
          <w:tcPr>
            <w:tcW w:w="7535" w:type="dxa"/>
          </w:tcPr>
          <w:p w:rsidR="005F7767" w:rsidRPr="005F7767" w:rsidRDefault="00774279" w:rsidP="005F7767">
            <w:pPr>
              <w:pStyle w:val="NoSpacing"/>
              <w:rPr>
                <w:sz w:val="23"/>
              </w:rPr>
            </w:pPr>
            <w:r w:rsidRPr="005F7767">
              <w:rPr>
                <w:sz w:val="23"/>
              </w:rPr>
              <w:t>Gilderhus, 50-69</w:t>
            </w:r>
            <w:r>
              <w:rPr>
                <w:sz w:val="23"/>
              </w:rPr>
              <w:t xml:space="preserve">; begin </w:t>
            </w:r>
            <w:r w:rsidRPr="00F53E20">
              <w:rPr>
                <w:sz w:val="23"/>
                <w:u w:val="single"/>
              </w:rPr>
              <w:t xml:space="preserve">Christopher Hill, </w:t>
            </w:r>
            <w:r w:rsidRPr="00F53E20">
              <w:rPr>
                <w:i/>
                <w:sz w:val="23"/>
                <w:u w:val="single"/>
              </w:rPr>
              <w:t>The English Revolution 1640</w:t>
            </w:r>
            <w:r>
              <w:rPr>
                <w:sz w:val="23"/>
              </w:rPr>
              <w:t xml:space="preserve"> (also available online at </w:t>
            </w:r>
            <w:r w:rsidRPr="00F53E20">
              <w:rPr>
                <w:sz w:val="23"/>
              </w:rPr>
              <w:t>http://www.marxists.org/archive/hill-christopher/english-revolution/index.htm</w:t>
            </w:r>
            <w:r>
              <w:rPr>
                <w:sz w:val="23"/>
              </w:rPr>
              <w:t>)</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46315F" w:rsidP="005F7767">
            <w:pPr>
              <w:pStyle w:val="NoSpacing"/>
              <w:rPr>
                <w:sz w:val="23"/>
              </w:rPr>
            </w:pPr>
            <w:r>
              <w:rPr>
                <w:sz w:val="23"/>
              </w:rPr>
              <w:t>Jan. 26</w:t>
            </w:r>
          </w:p>
        </w:tc>
        <w:tc>
          <w:tcPr>
            <w:tcW w:w="2369" w:type="dxa"/>
            <w:tcBorders>
              <w:bottom w:val="single" w:sz="4" w:space="0" w:color="auto"/>
            </w:tcBorders>
          </w:tcPr>
          <w:p w:rsidR="005F7767" w:rsidRPr="005F7767" w:rsidRDefault="00774279" w:rsidP="00774279">
            <w:pPr>
              <w:pStyle w:val="NoSpacing"/>
              <w:rPr>
                <w:sz w:val="23"/>
              </w:rPr>
            </w:pPr>
            <w:r>
              <w:rPr>
                <w:sz w:val="23"/>
              </w:rPr>
              <w:t>Marx &amp; history writing</w:t>
            </w:r>
          </w:p>
        </w:tc>
        <w:tc>
          <w:tcPr>
            <w:tcW w:w="7535" w:type="dxa"/>
            <w:tcBorders>
              <w:bottom w:val="single" w:sz="4" w:space="0" w:color="auto"/>
            </w:tcBorders>
          </w:tcPr>
          <w:p w:rsidR="005F7767" w:rsidRPr="0059340F" w:rsidRDefault="00774279" w:rsidP="00774279">
            <w:pPr>
              <w:pStyle w:val="NoSpacing"/>
              <w:rPr>
                <w:sz w:val="23"/>
              </w:rPr>
            </w:pPr>
            <w:r>
              <w:rPr>
                <w:sz w:val="23"/>
              </w:rPr>
              <w:t xml:space="preserve">Finish </w:t>
            </w:r>
            <w:r w:rsidRPr="00F53E20">
              <w:rPr>
                <w:sz w:val="23"/>
                <w:u w:val="single"/>
              </w:rPr>
              <w:t xml:space="preserve">Hill, </w:t>
            </w:r>
            <w:r w:rsidRPr="00F53E20">
              <w:rPr>
                <w:i/>
                <w:sz w:val="23"/>
                <w:u w:val="single"/>
              </w:rPr>
              <w:t>The English Revolution 1640</w:t>
            </w:r>
            <w:r>
              <w:rPr>
                <w:sz w:val="23"/>
              </w:rPr>
              <w:t>.</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46315F" w:rsidP="005F7767">
            <w:pPr>
              <w:pStyle w:val="NoSpacing"/>
              <w:rPr>
                <w:sz w:val="23"/>
              </w:rPr>
            </w:pPr>
            <w:r>
              <w:rPr>
                <w:sz w:val="23"/>
              </w:rPr>
              <w:t>Jan. 31</w:t>
            </w:r>
          </w:p>
        </w:tc>
        <w:tc>
          <w:tcPr>
            <w:tcW w:w="2369" w:type="dxa"/>
          </w:tcPr>
          <w:p w:rsidR="005F7767" w:rsidRPr="005F7767" w:rsidRDefault="00774279" w:rsidP="00774279">
            <w:pPr>
              <w:pStyle w:val="NoSpacing"/>
              <w:rPr>
                <w:sz w:val="23"/>
              </w:rPr>
            </w:pPr>
            <w:r w:rsidRPr="005F7767">
              <w:rPr>
                <w:sz w:val="23"/>
              </w:rPr>
              <w:t>The empiricists</w:t>
            </w:r>
            <w:r>
              <w:rPr>
                <w:sz w:val="23"/>
              </w:rPr>
              <w:t xml:space="preserve"> </w:t>
            </w:r>
          </w:p>
        </w:tc>
        <w:tc>
          <w:tcPr>
            <w:tcW w:w="7535" w:type="dxa"/>
          </w:tcPr>
          <w:p w:rsidR="005F7767" w:rsidRPr="00220387" w:rsidRDefault="00774279" w:rsidP="00774279">
            <w:pPr>
              <w:pStyle w:val="NoSpacing"/>
              <w:rPr>
                <w:sz w:val="23"/>
              </w:rPr>
            </w:pPr>
            <w:r w:rsidRPr="005F7767">
              <w:rPr>
                <w:sz w:val="23"/>
                <w:u w:val="single"/>
              </w:rPr>
              <w:t xml:space="preserve">Anna Green and Kathleen Troup, “The empiricists,” and G. R. Elton, </w:t>
            </w:r>
            <w:r w:rsidRPr="005F7767">
              <w:rPr>
                <w:i/>
                <w:sz w:val="23"/>
                <w:u w:val="single"/>
              </w:rPr>
              <w:t>England under the Tudors</w:t>
            </w:r>
            <w:r w:rsidRPr="005F7767">
              <w:rPr>
                <w:sz w:val="23"/>
                <w:u w:val="single"/>
              </w:rPr>
              <w:t xml:space="preserve"> (excerpt) from </w:t>
            </w:r>
            <w:r w:rsidRPr="005F7767">
              <w:rPr>
                <w:i/>
                <w:sz w:val="23"/>
                <w:u w:val="single"/>
              </w:rPr>
              <w:t>The Houses of History: A Critical Reader in Twentieth-Century History and Theory</w:t>
            </w:r>
            <w:r>
              <w:rPr>
                <w:sz w:val="23"/>
                <w:u w:val="single"/>
              </w:rPr>
              <w:t xml:space="preserve"> (New York, 1999)</w:t>
            </w:r>
            <w:r>
              <w:rPr>
                <w:sz w:val="23"/>
              </w:rPr>
              <w:t xml:space="preserve">.  </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46315F" w:rsidP="005F7767">
            <w:pPr>
              <w:pStyle w:val="NoSpacing"/>
              <w:rPr>
                <w:sz w:val="23"/>
              </w:rPr>
            </w:pPr>
            <w:r>
              <w:rPr>
                <w:sz w:val="23"/>
              </w:rPr>
              <w:t>Feb. 2</w:t>
            </w:r>
          </w:p>
        </w:tc>
        <w:tc>
          <w:tcPr>
            <w:tcW w:w="2369" w:type="dxa"/>
            <w:tcBorders>
              <w:bottom w:val="single" w:sz="4" w:space="0" w:color="auto"/>
            </w:tcBorders>
          </w:tcPr>
          <w:p w:rsidR="005F7767" w:rsidRPr="005F7767" w:rsidRDefault="00326169" w:rsidP="005F7767">
            <w:pPr>
              <w:pStyle w:val="NoSpacing"/>
              <w:rPr>
                <w:sz w:val="23"/>
              </w:rPr>
            </w:pPr>
            <w:r>
              <w:rPr>
                <w:sz w:val="23"/>
              </w:rPr>
              <w:t>Objectivity (?)</w:t>
            </w:r>
          </w:p>
        </w:tc>
        <w:tc>
          <w:tcPr>
            <w:tcW w:w="7535" w:type="dxa"/>
            <w:tcBorders>
              <w:bottom w:val="single" w:sz="4" w:space="0" w:color="auto"/>
            </w:tcBorders>
          </w:tcPr>
          <w:p w:rsidR="005F7767" w:rsidRPr="005F7767" w:rsidRDefault="005F7767" w:rsidP="005F7767">
            <w:pPr>
              <w:pStyle w:val="NoSpacing"/>
              <w:rPr>
                <w:sz w:val="23"/>
              </w:rPr>
            </w:pPr>
            <w:r w:rsidRPr="005F7767">
              <w:rPr>
                <w:sz w:val="23"/>
              </w:rPr>
              <w:t xml:space="preserve">Gilderhus, 70-85; Peter Novick, “Introduction: Nailing Jelly to the Wall,” from </w:t>
            </w:r>
            <w:r w:rsidRPr="005F7767">
              <w:rPr>
                <w:i/>
                <w:sz w:val="23"/>
              </w:rPr>
              <w:t>That Noble Dream: The “Objectivity Question” and the American Historical Profession</w:t>
            </w:r>
            <w:r w:rsidRPr="005F7767">
              <w:rPr>
                <w:sz w:val="23"/>
              </w:rPr>
              <w:t xml:space="preserve"> (Cambridge, 1988), 1-17.</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bottom w:val="nil"/>
              <w:right w:val="nil"/>
            </w:tcBorders>
          </w:tcPr>
          <w:p w:rsidR="005F7767" w:rsidRPr="005F7767" w:rsidRDefault="005F7767" w:rsidP="005F7767">
            <w:pPr>
              <w:pStyle w:val="NoSpacing"/>
              <w:rPr>
                <w:sz w:val="23"/>
              </w:rPr>
            </w:pPr>
          </w:p>
        </w:tc>
        <w:tc>
          <w:tcPr>
            <w:tcW w:w="2369" w:type="dxa"/>
            <w:tcBorders>
              <w:left w:val="nil"/>
              <w:bottom w:val="nil"/>
              <w:right w:val="nil"/>
            </w:tcBorders>
          </w:tcPr>
          <w:p w:rsidR="005F7767" w:rsidRPr="005F7767" w:rsidRDefault="005F7767" w:rsidP="005F7767">
            <w:pPr>
              <w:pStyle w:val="NoSpacing"/>
              <w:rPr>
                <w:sz w:val="23"/>
              </w:rPr>
            </w:pPr>
          </w:p>
        </w:tc>
        <w:tc>
          <w:tcPr>
            <w:tcW w:w="7535" w:type="dxa"/>
            <w:tcBorders>
              <w:left w:val="nil"/>
              <w:bottom w:val="nil"/>
              <w:right w:val="nil"/>
            </w:tcBorders>
          </w:tcPr>
          <w:p w:rsidR="005F7767" w:rsidRPr="005F7767" w:rsidRDefault="005F7767" w:rsidP="005F7767">
            <w:pPr>
              <w:pStyle w:val="NoSpacing"/>
              <w:rPr>
                <w:sz w:val="23"/>
                <w:u w:val="single"/>
              </w:rPr>
            </w:pPr>
          </w:p>
        </w:tc>
        <w:tc>
          <w:tcPr>
            <w:tcW w:w="2160" w:type="dxa"/>
            <w:tcBorders>
              <w:left w:val="nil"/>
              <w:bottom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46315F" w:rsidP="005F7767">
            <w:pPr>
              <w:pStyle w:val="NoSpacing"/>
              <w:rPr>
                <w:sz w:val="23"/>
              </w:rPr>
            </w:pPr>
            <w:r>
              <w:rPr>
                <w:sz w:val="23"/>
              </w:rPr>
              <w:t>Feb. 7</w:t>
            </w:r>
          </w:p>
        </w:tc>
        <w:tc>
          <w:tcPr>
            <w:tcW w:w="2369" w:type="dxa"/>
          </w:tcPr>
          <w:p w:rsidR="005F7767" w:rsidRPr="005F7767" w:rsidRDefault="005F7767" w:rsidP="005F7767">
            <w:pPr>
              <w:pStyle w:val="NoSpacing"/>
              <w:rPr>
                <w:sz w:val="23"/>
              </w:rPr>
            </w:pPr>
            <w:r w:rsidRPr="005F7767">
              <w:rPr>
                <w:sz w:val="23"/>
              </w:rPr>
              <w:t xml:space="preserve">The </w:t>
            </w:r>
            <w:r w:rsidRPr="005F7767">
              <w:rPr>
                <w:i/>
                <w:sz w:val="23"/>
              </w:rPr>
              <w:t>longue durée</w:t>
            </w:r>
            <w:r w:rsidRPr="005F7767">
              <w:rPr>
                <w:sz w:val="23"/>
              </w:rPr>
              <w:t>:  the Annales school</w:t>
            </w:r>
          </w:p>
        </w:tc>
        <w:tc>
          <w:tcPr>
            <w:tcW w:w="7535" w:type="dxa"/>
          </w:tcPr>
          <w:p w:rsidR="005F7767" w:rsidRPr="005F7767" w:rsidRDefault="005F7767" w:rsidP="005F7767">
            <w:pPr>
              <w:pStyle w:val="NoSpacing"/>
              <w:rPr>
                <w:sz w:val="23"/>
              </w:rPr>
            </w:pPr>
            <w:r w:rsidRPr="005F7767">
              <w:rPr>
                <w:sz w:val="23"/>
              </w:rPr>
              <w:t xml:space="preserve">Gilderhus, 86-110; </w:t>
            </w:r>
            <w:r w:rsidRPr="005F7767">
              <w:rPr>
                <w:sz w:val="23"/>
                <w:u w:val="single"/>
              </w:rPr>
              <w:t xml:space="preserve">Green and Troup, “The Annales,” from </w:t>
            </w:r>
            <w:r w:rsidRPr="005F7767">
              <w:rPr>
                <w:i/>
                <w:sz w:val="23"/>
                <w:u w:val="single"/>
              </w:rPr>
              <w:t>The Houses of History</w:t>
            </w:r>
            <w:r w:rsidRPr="005F7767">
              <w:rPr>
                <w:sz w:val="23"/>
              </w:rPr>
              <w:t xml:space="preserve">; </w:t>
            </w:r>
            <w:r w:rsidRPr="005F7767">
              <w:rPr>
                <w:sz w:val="23"/>
                <w:u w:val="single"/>
              </w:rPr>
              <w:t xml:space="preserve">John Thornton, Intro. and Chapters 1-2 from </w:t>
            </w:r>
            <w:r w:rsidRPr="005F7767">
              <w:rPr>
                <w:i/>
                <w:sz w:val="23"/>
                <w:u w:val="single"/>
              </w:rPr>
              <w:t>The Kingdom of Kongo: Civil War and Transition 1641-1718</w:t>
            </w:r>
            <w:r w:rsidRPr="005F7767">
              <w:rPr>
                <w:sz w:val="23"/>
                <w:u w:val="single"/>
              </w:rPr>
              <w:t xml:space="preserve"> (Madison, 1983), xiii-xxi, 1-27, 131-143</w:t>
            </w:r>
            <w:r w:rsidRPr="005F7767">
              <w:rPr>
                <w:sz w:val="23"/>
              </w:rPr>
              <w:t>.</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46315F" w:rsidP="005F7767">
            <w:pPr>
              <w:pStyle w:val="NoSpacing"/>
              <w:rPr>
                <w:sz w:val="23"/>
              </w:rPr>
            </w:pPr>
            <w:r>
              <w:rPr>
                <w:sz w:val="23"/>
              </w:rPr>
              <w:t>Feb. 9</w:t>
            </w:r>
          </w:p>
        </w:tc>
        <w:tc>
          <w:tcPr>
            <w:tcW w:w="2369" w:type="dxa"/>
            <w:tcBorders>
              <w:bottom w:val="single" w:sz="4" w:space="0" w:color="auto"/>
            </w:tcBorders>
          </w:tcPr>
          <w:p w:rsidR="005F7767" w:rsidRPr="005F7767" w:rsidRDefault="005F7767" w:rsidP="005F7767">
            <w:pPr>
              <w:pStyle w:val="NoSpacing"/>
              <w:rPr>
                <w:sz w:val="23"/>
              </w:rPr>
            </w:pPr>
            <w:r w:rsidRPr="005F7767">
              <w:rPr>
                <w:sz w:val="23"/>
              </w:rPr>
              <w:t>Social history</w:t>
            </w:r>
          </w:p>
        </w:tc>
        <w:tc>
          <w:tcPr>
            <w:tcW w:w="7535" w:type="dxa"/>
            <w:tcBorders>
              <w:bottom w:val="single" w:sz="4" w:space="0" w:color="auto"/>
            </w:tcBorders>
          </w:tcPr>
          <w:p w:rsidR="005F7767" w:rsidRPr="001B2362" w:rsidRDefault="001B2362" w:rsidP="005F7767">
            <w:pPr>
              <w:pStyle w:val="NoSpacing"/>
              <w:rPr>
                <w:sz w:val="23"/>
              </w:rPr>
            </w:pPr>
            <w:r>
              <w:rPr>
                <w:sz w:val="23"/>
              </w:rPr>
              <w:t xml:space="preserve">E. P. Thompson, “Exploitation,” chapter six of </w:t>
            </w:r>
            <w:r>
              <w:rPr>
                <w:i/>
                <w:sz w:val="23"/>
              </w:rPr>
              <w:t>The Making of the English Working Class</w:t>
            </w:r>
            <w:r>
              <w:rPr>
                <w:sz w:val="23"/>
              </w:rPr>
              <w:t xml:space="preserve"> (Vintage, 1966), 189-212.</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5F7767" w:rsidP="005F7767">
            <w:pPr>
              <w:pStyle w:val="NoSpacing"/>
              <w:rPr>
                <w:sz w:val="23"/>
              </w:rPr>
            </w:pPr>
            <w:r w:rsidRPr="005F7767">
              <w:rPr>
                <w:sz w:val="23"/>
              </w:rPr>
              <w:lastRenderedPageBreak/>
              <w:t>Feb.</w:t>
            </w:r>
            <w:r w:rsidR="0026280F">
              <w:rPr>
                <w:sz w:val="23"/>
              </w:rPr>
              <w:t xml:space="preserve"> 14</w:t>
            </w:r>
          </w:p>
        </w:tc>
        <w:tc>
          <w:tcPr>
            <w:tcW w:w="2369" w:type="dxa"/>
          </w:tcPr>
          <w:p w:rsidR="005F7767" w:rsidRPr="005F7767" w:rsidRDefault="000A50F2" w:rsidP="000A50F2">
            <w:pPr>
              <w:pStyle w:val="NoSpacing"/>
              <w:rPr>
                <w:sz w:val="23"/>
              </w:rPr>
            </w:pPr>
            <w:r w:rsidRPr="005F7767">
              <w:rPr>
                <w:sz w:val="23"/>
              </w:rPr>
              <w:t>Quantitative history</w:t>
            </w:r>
            <w:r>
              <w:rPr>
                <w:sz w:val="23"/>
              </w:rPr>
              <w:t xml:space="preserve"> </w:t>
            </w:r>
          </w:p>
        </w:tc>
        <w:tc>
          <w:tcPr>
            <w:tcW w:w="7535" w:type="dxa"/>
          </w:tcPr>
          <w:p w:rsidR="005F7767" w:rsidRPr="005F7767" w:rsidRDefault="000A50F2" w:rsidP="000A50F2">
            <w:pPr>
              <w:pStyle w:val="NoSpacing"/>
              <w:rPr>
                <w:sz w:val="23"/>
              </w:rPr>
            </w:pPr>
            <w:r w:rsidRPr="005F7767">
              <w:rPr>
                <w:sz w:val="23"/>
              </w:rPr>
              <w:t xml:space="preserve">Stephen Nicholas, Richard H. Steckel, “Heights and Living Standards of English Workers during the Early Years of Industrialization, 1770-1815,” </w:t>
            </w:r>
            <w:r w:rsidRPr="005F7767">
              <w:rPr>
                <w:i/>
                <w:sz w:val="23"/>
              </w:rPr>
              <w:t>Journal of Economic History</w:t>
            </w:r>
            <w:r w:rsidRPr="005F7767">
              <w:rPr>
                <w:sz w:val="23"/>
              </w:rPr>
              <w:t xml:space="preserve"> 51, no. 4 (Dec. 1991): 937-957.</w:t>
            </w:r>
            <w:r>
              <w:rPr>
                <w:sz w:val="23"/>
              </w:rPr>
              <w:t xml:space="preserve"> </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26280F" w:rsidP="005F7767">
            <w:pPr>
              <w:pStyle w:val="NoSpacing"/>
              <w:rPr>
                <w:sz w:val="23"/>
              </w:rPr>
            </w:pPr>
            <w:r>
              <w:rPr>
                <w:sz w:val="23"/>
              </w:rPr>
              <w:t>Feb. 16</w:t>
            </w:r>
          </w:p>
        </w:tc>
        <w:tc>
          <w:tcPr>
            <w:tcW w:w="2369" w:type="dxa"/>
            <w:tcBorders>
              <w:bottom w:val="single" w:sz="4" w:space="0" w:color="auto"/>
            </w:tcBorders>
          </w:tcPr>
          <w:p w:rsidR="005F7767" w:rsidRPr="005F7767" w:rsidRDefault="000A50F2" w:rsidP="000A50F2">
            <w:pPr>
              <w:pStyle w:val="NoSpacing"/>
              <w:rPr>
                <w:sz w:val="23"/>
              </w:rPr>
            </w:pPr>
            <w:r w:rsidRPr="005F7767">
              <w:rPr>
                <w:sz w:val="23"/>
              </w:rPr>
              <w:t>Psychohistory</w:t>
            </w:r>
            <w:r>
              <w:rPr>
                <w:sz w:val="23"/>
              </w:rPr>
              <w:t xml:space="preserve"> </w:t>
            </w:r>
          </w:p>
        </w:tc>
        <w:tc>
          <w:tcPr>
            <w:tcW w:w="7535" w:type="dxa"/>
            <w:tcBorders>
              <w:bottom w:val="single" w:sz="4" w:space="0" w:color="auto"/>
            </w:tcBorders>
          </w:tcPr>
          <w:p w:rsidR="005F7767" w:rsidRPr="005F7767" w:rsidRDefault="000A50F2" w:rsidP="000A50F2">
            <w:pPr>
              <w:pStyle w:val="NoSpacing"/>
              <w:rPr>
                <w:sz w:val="23"/>
              </w:rPr>
            </w:pPr>
            <w:r w:rsidRPr="005F7767">
              <w:rPr>
                <w:sz w:val="23"/>
                <w:u w:val="single"/>
              </w:rPr>
              <w:t xml:space="preserve">Green and Troup, “Freud and psychohistory,” from </w:t>
            </w:r>
            <w:r w:rsidRPr="005F7767">
              <w:rPr>
                <w:i/>
                <w:sz w:val="23"/>
                <w:u w:val="single"/>
              </w:rPr>
              <w:t>The Houses of History</w:t>
            </w:r>
            <w:r w:rsidRPr="005F7767">
              <w:rPr>
                <w:sz w:val="23"/>
              </w:rPr>
              <w:t xml:space="preserve">; </w:t>
            </w:r>
            <w:r w:rsidRPr="005F7767">
              <w:rPr>
                <w:sz w:val="23"/>
                <w:u w:val="single"/>
              </w:rPr>
              <w:t xml:space="preserve">Robert C. Tucker, “Djugashvili as Stalin,” from </w:t>
            </w:r>
            <w:r w:rsidRPr="005F7767">
              <w:rPr>
                <w:i/>
                <w:sz w:val="23"/>
                <w:u w:val="single"/>
              </w:rPr>
              <w:t>Stalin as Revolutionary 1879 1929: A Study in History and Personality</w:t>
            </w:r>
            <w:r w:rsidRPr="005F7767">
              <w:rPr>
                <w:sz w:val="23"/>
                <w:u w:val="single"/>
              </w:rPr>
              <w:t xml:space="preserve"> (New York, 1973), 115-143</w:t>
            </w:r>
            <w:r w:rsidRPr="005F7767">
              <w:rPr>
                <w:sz w:val="23"/>
              </w:rPr>
              <w:t>.</w:t>
            </w:r>
            <w:r>
              <w:rPr>
                <w:sz w:val="23"/>
              </w:rPr>
              <w:t xml:space="preserve"> </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26280F" w:rsidP="005F7767">
            <w:pPr>
              <w:pStyle w:val="NoSpacing"/>
              <w:rPr>
                <w:sz w:val="23"/>
              </w:rPr>
            </w:pPr>
            <w:r>
              <w:rPr>
                <w:sz w:val="23"/>
              </w:rPr>
              <w:t>Feb. 21</w:t>
            </w:r>
          </w:p>
        </w:tc>
        <w:tc>
          <w:tcPr>
            <w:tcW w:w="2369" w:type="dxa"/>
          </w:tcPr>
          <w:p w:rsidR="005F7767" w:rsidRPr="005F7767" w:rsidRDefault="00F702A6" w:rsidP="005F7767">
            <w:pPr>
              <w:pStyle w:val="NoSpacing"/>
              <w:rPr>
                <w:sz w:val="23"/>
              </w:rPr>
            </w:pPr>
            <w:r>
              <w:rPr>
                <w:sz w:val="23"/>
              </w:rPr>
              <w:t>A</w:t>
            </w:r>
            <w:r w:rsidR="005F7767" w:rsidRPr="005F7767">
              <w:rPr>
                <w:sz w:val="23"/>
              </w:rPr>
              <w:t>nthropology and history</w:t>
            </w:r>
          </w:p>
        </w:tc>
        <w:tc>
          <w:tcPr>
            <w:tcW w:w="7535" w:type="dxa"/>
          </w:tcPr>
          <w:p w:rsidR="005F7767" w:rsidRPr="005F7767" w:rsidRDefault="000A50F2" w:rsidP="005F7767">
            <w:pPr>
              <w:pStyle w:val="NoSpacing"/>
              <w:rPr>
                <w:sz w:val="23"/>
              </w:rPr>
            </w:pPr>
            <w:r w:rsidRPr="005F7767">
              <w:rPr>
                <w:sz w:val="23"/>
              </w:rPr>
              <w:t xml:space="preserve">Clifford Geertz, “Deep Play: Notes on the Balinese Cockfight,” from </w:t>
            </w:r>
            <w:r w:rsidRPr="005F7767">
              <w:rPr>
                <w:i/>
                <w:sz w:val="23"/>
              </w:rPr>
              <w:t>The Interpretation of Cultures</w:t>
            </w:r>
            <w:r w:rsidRPr="005F7767">
              <w:rPr>
                <w:sz w:val="23"/>
              </w:rPr>
              <w:t xml:space="preserve"> (New York, 1973), 412-454.</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26280F" w:rsidP="005F7767">
            <w:pPr>
              <w:pStyle w:val="NoSpacing"/>
              <w:rPr>
                <w:sz w:val="23"/>
              </w:rPr>
            </w:pPr>
            <w:r>
              <w:rPr>
                <w:sz w:val="23"/>
              </w:rPr>
              <w:t>Feb. 23</w:t>
            </w:r>
          </w:p>
        </w:tc>
        <w:tc>
          <w:tcPr>
            <w:tcW w:w="2369" w:type="dxa"/>
            <w:tcBorders>
              <w:bottom w:val="single" w:sz="4" w:space="0" w:color="auto"/>
            </w:tcBorders>
          </w:tcPr>
          <w:p w:rsidR="005F7767" w:rsidRPr="005F7767" w:rsidRDefault="00F702A6" w:rsidP="005F7767">
            <w:pPr>
              <w:pStyle w:val="NoSpacing"/>
              <w:rPr>
                <w:sz w:val="23"/>
              </w:rPr>
            </w:pPr>
            <w:r>
              <w:rPr>
                <w:sz w:val="23"/>
              </w:rPr>
              <w:t>A</w:t>
            </w:r>
            <w:r w:rsidR="000A50F2" w:rsidRPr="005F7767">
              <w:rPr>
                <w:sz w:val="23"/>
              </w:rPr>
              <w:t>nthropology and history</w:t>
            </w:r>
            <w:r w:rsidR="000A50F2">
              <w:rPr>
                <w:sz w:val="23"/>
              </w:rPr>
              <w:t>, continued</w:t>
            </w:r>
          </w:p>
        </w:tc>
        <w:tc>
          <w:tcPr>
            <w:tcW w:w="7535" w:type="dxa"/>
            <w:tcBorders>
              <w:bottom w:val="single" w:sz="4" w:space="0" w:color="auto"/>
            </w:tcBorders>
          </w:tcPr>
          <w:p w:rsidR="005F7767" w:rsidRPr="005F7767" w:rsidRDefault="000A50F2" w:rsidP="005F7767">
            <w:pPr>
              <w:pStyle w:val="NoSpacing"/>
              <w:rPr>
                <w:sz w:val="23"/>
              </w:rPr>
            </w:pPr>
            <w:r w:rsidRPr="005F7767">
              <w:rPr>
                <w:sz w:val="23"/>
              </w:rPr>
              <w:t xml:space="preserve">Robert Darnton, “Workers Revolt: The Great Cat Massacre of the Rue Saint-Séverin,” from </w:t>
            </w:r>
            <w:r w:rsidRPr="005F7767">
              <w:rPr>
                <w:i/>
                <w:sz w:val="23"/>
              </w:rPr>
              <w:t>The Great Cat Massacre and Other Episodes in French Cultural History</w:t>
            </w:r>
            <w:r w:rsidRPr="005F7767">
              <w:rPr>
                <w:sz w:val="23"/>
              </w:rPr>
              <w:t xml:space="preserve"> (New York, 1985), 75-104.</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Pr>
          <w:p w:rsidR="005F7767" w:rsidRPr="005F7767" w:rsidRDefault="0026280F" w:rsidP="005F7767">
            <w:pPr>
              <w:pStyle w:val="NoSpacing"/>
              <w:rPr>
                <w:sz w:val="23"/>
              </w:rPr>
            </w:pPr>
            <w:r>
              <w:rPr>
                <w:sz w:val="23"/>
              </w:rPr>
              <w:t>Feb</w:t>
            </w:r>
            <w:r w:rsidR="005F7767" w:rsidRPr="005F7767">
              <w:rPr>
                <w:sz w:val="23"/>
              </w:rPr>
              <w:t>. 2</w:t>
            </w:r>
            <w:r>
              <w:rPr>
                <w:sz w:val="23"/>
              </w:rPr>
              <w:t>8</w:t>
            </w:r>
          </w:p>
        </w:tc>
        <w:tc>
          <w:tcPr>
            <w:tcW w:w="2369" w:type="dxa"/>
          </w:tcPr>
          <w:p w:rsidR="005F7767" w:rsidRPr="005F7767" w:rsidRDefault="00F702A6" w:rsidP="00F702A6">
            <w:pPr>
              <w:pStyle w:val="NoSpacing"/>
              <w:rPr>
                <w:sz w:val="23"/>
              </w:rPr>
            </w:pPr>
            <w:r>
              <w:rPr>
                <w:sz w:val="23"/>
              </w:rPr>
              <w:t>Structuralism - Foucault</w:t>
            </w:r>
          </w:p>
        </w:tc>
        <w:tc>
          <w:tcPr>
            <w:tcW w:w="7535" w:type="dxa"/>
          </w:tcPr>
          <w:p w:rsidR="005F7767" w:rsidRPr="005F7767" w:rsidRDefault="008862E8" w:rsidP="008862E8">
            <w:pPr>
              <w:pStyle w:val="NoSpacing"/>
              <w:rPr>
                <w:sz w:val="23"/>
              </w:rPr>
            </w:pPr>
            <w:r w:rsidRPr="008862E8">
              <w:rPr>
                <w:sz w:val="23"/>
                <w:u w:val="single"/>
              </w:rPr>
              <w:t>“</w:t>
            </w:r>
            <w:r w:rsidR="005F7767" w:rsidRPr="008862E8">
              <w:rPr>
                <w:sz w:val="23"/>
                <w:u w:val="single"/>
              </w:rPr>
              <w:t>Michel Fouca</w:t>
            </w:r>
            <w:r w:rsidRPr="008862E8">
              <w:rPr>
                <w:sz w:val="23"/>
                <w:u w:val="single"/>
              </w:rPr>
              <w:t>ult -- Biography”</w:t>
            </w:r>
            <w:r w:rsidR="005F7767" w:rsidRPr="005F7767">
              <w:rPr>
                <w:sz w:val="23"/>
              </w:rPr>
              <w:t xml:space="preserve">; </w:t>
            </w:r>
            <w:r w:rsidR="005F7767" w:rsidRPr="005F7767">
              <w:rPr>
                <w:sz w:val="23"/>
                <w:u w:val="single"/>
              </w:rPr>
              <w:t xml:space="preserve">Ann Laura Stoler, “Cultivating bourgeois bodies and racial selves,” in </w:t>
            </w:r>
            <w:r w:rsidR="005F7767" w:rsidRPr="005F7767">
              <w:rPr>
                <w:i/>
                <w:sz w:val="23"/>
                <w:u w:val="single"/>
              </w:rPr>
              <w:t>Cultures of Empire: Colonizers in Britain and the Empire in the Nineteenth and Twentieth Centuries, A Reader</w:t>
            </w:r>
            <w:r w:rsidR="005F7767" w:rsidRPr="005F7767">
              <w:rPr>
                <w:sz w:val="23"/>
                <w:u w:val="single"/>
              </w:rPr>
              <w:t>, ed. Catherine Hall (New York, 2000), 87-119.</w:t>
            </w:r>
          </w:p>
        </w:tc>
        <w:tc>
          <w:tcPr>
            <w:tcW w:w="2160" w:type="dxa"/>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26280F" w:rsidP="005F7767">
            <w:pPr>
              <w:pStyle w:val="NoSpacing"/>
              <w:rPr>
                <w:sz w:val="23"/>
              </w:rPr>
            </w:pPr>
            <w:r>
              <w:rPr>
                <w:sz w:val="23"/>
              </w:rPr>
              <w:t>Mar. 1</w:t>
            </w:r>
          </w:p>
        </w:tc>
        <w:tc>
          <w:tcPr>
            <w:tcW w:w="2369" w:type="dxa"/>
            <w:tcBorders>
              <w:bottom w:val="single" w:sz="4" w:space="0" w:color="auto"/>
            </w:tcBorders>
          </w:tcPr>
          <w:p w:rsidR="005F7767" w:rsidRPr="005F7767" w:rsidRDefault="00F702A6" w:rsidP="005F7767">
            <w:pPr>
              <w:pStyle w:val="NoSpacing"/>
              <w:rPr>
                <w:sz w:val="23"/>
              </w:rPr>
            </w:pPr>
            <w:r>
              <w:rPr>
                <w:sz w:val="23"/>
              </w:rPr>
              <w:t>Structuralism - Hayden White</w:t>
            </w:r>
          </w:p>
        </w:tc>
        <w:tc>
          <w:tcPr>
            <w:tcW w:w="7535" w:type="dxa"/>
            <w:tcBorders>
              <w:bottom w:val="single" w:sz="4" w:space="0" w:color="auto"/>
            </w:tcBorders>
          </w:tcPr>
          <w:p w:rsidR="005F7767" w:rsidRPr="005F7767" w:rsidRDefault="005F7767" w:rsidP="00764583">
            <w:pPr>
              <w:pStyle w:val="NoSpacing"/>
              <w:rPr>
                <w:sz w:val="23"/>
              </w:rPr>
            </w:pPr>
            <w:r w:rsidRPr="005F7767">
              <w:rPr>
                <w:sz w:val="23"/>
              </w:rPr>
              <w:t>Gilderhus, 111-125; H. White, “The Histo</w:t>
            </w:r>
            <w:r w:rsidR="008862E8">
              <w:rPr>
                <w:sz w:val="23"/>
              </w:rPr>
              <w:t>rical Text as Literary Artifact</w:t>
            </w:r>
            <w:r w:rsidRPr="005F7767">
              <w:rPr>
                <w:sz w:val="23"/>
              </w:rPr>
              <w:t>”</w:t>
            </w:r>
            <w:r w:rsidR="008862E8">
              <w:rPr>
                <w:sz w:val="23"/>
              </w:rPr>
              <w:t xml:space="preserve"> and “The Fictions of Factual Representation</w:t>
            </w:r>
            <w:r w:rsidR="00764583">
              <w:rPr>
                <w:sz w:val="23"/>
              </w:rPr>
              <w:t>,</w:t>
            </w:r>
            <w:r w:rsidR="008862E8">
              <w:rPr>
                <w:sz w:val="23"/>
              </w:rPr>
              <w:t>”</w:t>
            </w:r>
            <w:r w:rsidRPr="005F7767">
              <w:rPr>
                <w:sz w:val="23"/>
              </w:rPr>
              <w:t xml:space="preserve"> from </w:t>
            </w:r>
            <w:r w:rsidRPr="005F7767">
              <w:rPr>
                <w:i/>
                <w:sz w:val="23"/>
              </w:rPr>
              <w:t>Tropics of Discourse: Essays in Cultural Criticism</w:t>
            </w:r>
            <w:r w:rsidRPr="005F7767">
              <w:rPr>
                <w:sz w:val="23"/>
              </w:rPr>
              <w:t xml:space="preserve"> (Baltimore, 1978), 81-100</w:t>
            </w:r>
            <w:r w:rsidR="00764583">
              <w:rPr>
                <w:sz w:val="23"/>
              </w:rPr>
              <w:t xml:space="preserve">, </w:t>
            </w:r>
            <w:r w:rsidR="008862E8">
              <w:rPr>
                <w:sz w:val="23"/>
              </w:rPr>
              <w:t>121-134</w:t>
            </w:r>
            <w:r w:rsidRPr="005F7767">
              <w:rPr>
                <w:sz w:val="23"/>
              </w:rPr>
              <w:t>.</w:t>
            </w: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bottom w:val="nil"/>
              <w:right w:val="nil"/>
            </w:tcBorders>
          </w:tcPr>
          <w:p w:rsidR="005F7767" w:rsidRPr="005F7767" w:rsidRDefault="005F7767" w:rsidP="005F7767">
            <w:pPr>
              <w:pStyle w:val="NoSpacing"/>
              <w:rPr>
                <w:sz w:val="23"/>
              </w:rPr>
            </w:pPr>
          </w:p>
        </w:tc>
        <w:tc>
          <w:tcPr>
            <w:tcW w:w="2369" w:type="dxa"/>
            <w:tcBorders>
              <w:left w:val="nil"/>
              <w:bottom w:val="nil"/>
              <w:right w:val="nil"/>
            </w:tcBorders>
          </w:tcPr>
          <w:p w:rsidR="005F7767" w:rsidRPr="005F7767" w:rsidRDefault="005F7767" w:rsidP="005F7767">
            <w:pPr>
              <w:pStyle w:val="NoSpacing"/>
              <w:rPr>
                <w:sz w:val="23"/>
              </w:rPr>
            </w:pPr>
          </w:p>
        </w:tc>
        <w:tc>
          <w:tcPr>
            <w:tcW w:w="7535" w:type="dxa"/>
            <w:tcBorders>
              <w:left w:val="nil"/>
              <w:bottom w:val="nil"/>
              <w:right w:val="nil"/>
            </w:tcBorders>
          </w:tcPr>
          <w:p w:rsidR="005F7767" w:rsidRPr="005F7767" w:rsidRDefault="005F7767" w:rsidP="005F7767">
            <w:pPr>
              <w:pStyle w:val="NoSpacing"/>
              <w:rPr>
                <w:sz w:val="23"/>
              </w:rPr>
            </w:pPr>
          </w:p>
        </w:tc>
        <w:tc>
          <w:tcPr>
            <w:tcW w:w="2160" w:type="dxa"/>
            <w:tcBorders>
              <w:left w:val="nil"/>
              <w:bottom w:val="nil"/>
              <w:right w:val="nil"/>
            </w:tcBorders>
          </w:tcPr>
          <w:p w:rsidR="005F7767" w:rsidRPr="005F7767" w:rsidRDefault="005F7767" w:rsidP="005F7767">
            <w:pPr>
              <w:pStyle w:val="NoSpacing"/>
              <w:rPr>
                <w:sz w:val="23"/>
              </w:rPr>
            </w:pPr>
          </w:p>
        </w:tc>
      </w:tr>
      <w:tr w:rsidR="005F7767" w:rsidRPr="005F7767" w:rsidTr="00661B6A">
        <w:trPr>
          <w:cantSplit/>
        </w:trPr>
        <w:tc>
          <w:tcPr>
            <w:tcW w:w="1724" w:type="dxa"/>
            <w:tcBorders>
              <w:bottom w:val="single" w:sz="4" w:space="0" w:color="auto"/>
            </w:tcBorders>
          </w:tcPr>
          <w:p w:rsidR="005F7767" w:rsidRPr="005F7767" w:rsidRDefault="0026280F" w:rsidP="005F7767">
            <w:pPr>
              <w:pStyle w:val="NoSpacing"/>
              <w:rPr>
                <w:sz w:val="23"/>
              </w:rPr>
            </w:pPr>
            <w:r>
              <w:rPr>
                <w:sz w:val="23"/>
              </w:rPr>
              <w:t>Mar. 6 &amp; 8</w:t>
            </w:r>
          </w:p>
        </w:tc>
        <w:tc>
          <w:tcPr>
            <w:tcW w:w="2369" w:type="dxa"/>
            <w:tcBorders>
              <w:bottom w:val="single" w:sz="4" w:space="0" w:color="auto"/>
            </w:tcBorders>
          </w:tcPr>
          <w:p w:rsidR="005F7767" w:rsidRPr="005F7767" w:rsidRDefault="0026280F" w:rsidP="0026280F">
            <w:pPr>
              <w:pStyle w:val="NoSpacing"/>
              <w:rPr>
                <w:sz w:val="23"/>
              </w:rPr>
            </w:pPr>
            <w:r w:rsidRPr="005F7767">
              <w:rPr>
                <w:sz w:val="23"/>
              </w:rPr>
              <w:t>No class. Spring break.</w:t>
            </w:r>
            <w:r w:rsidR="005F7767" w:rsidRPr="005F7767">
              <w:rPr>
                <w:sz w:val="23"/>
              </w:rPr>
              <w:t xml:space="preserve">  </w:t>
            </w:r>
          </w:p>
        </w:tc>
        <w:tc>
          <w:tcPr>
            <w:tcW w:w="7535" w:type="dxa"/>
            <w:tcBorders>
              <w:bottom w:val="single" w:sz="4" w:space="0" w:color="auto"/>
            </w:tcBorders>
          </w:tcPr>
          <w:p w:rsidR="005F7767" w:rsidRPr="005F7767" w:rsidRDefault="005F7767" w:rsidP="005F7767">
            <w:pPr>
              <w:pStyle w:val="NoSpacing"/>
              <w:rPr>
                <w:sz w:val="23"/>
              </w:rPr>
            </w:pPr>
          </w:p>
        </w:tc>
        <w:tc>
          <w:tcPr>
            <w:tcW w:w="2160" w:type="dxa"/>
            <w:tcBorders>
              <w:bottom w:val="single" w:sz="4" w:space="0" w:color="auto"/>
            </w:tcBorders>
          </w:tcPr>
          <w:p w:rsidR="005F7767" w:rsidRPr="005F7767" w:rsidRDefault="005F7767" w:rsidP="005F7767">
            <w:pPr>
              <w:pStyle w:val="NoSpacing"/>
              <w:rPr>
                <w:sz w:val="23"/>
              </w:rPr>
            </w:pPr>
          </w:p>
        </w:tc>
      </w:tr>
      <w:tr w:rsidR="005F7767" w:rsidRPr="005F7767" w:rsidTr="00661B6A">
        <w:trPr>
          <w:cantSplit/>
        </w:trPr>
        <w:tc>
          <w:tcPr>
            <w:tcW w:w="1724" w:type="dxa"/>
            <w:tcBorders>
              <w:left w:val="nil"/>
              <w:right w:val="nil"/>
            </w:tcBorders>
          </w:tcPr>
          <w:p w:rsidR="005F7767" w:rsidRPr="005F7767" w:rsidRDefault="005F7767" w:rsidP="005F7767">
            <w:pPr>
              <w:pStyle w:val="NoSpacing"/>
              <w:rPr>
                <w:sz w:val="23"/>
              </w:rPr>
            </w:pPr>
          </w:p>
        </w:tc>
        <w:tc>
          <w:tcPr>
            <w:tcW w:w="2369" w:type="dxa"/>
            <w:tcBorders>
              <w:left w:val="nil"/>
              <w:right w:val="nil"/>
            </w:tcBorders>
          </w:tcPr>
          <w:p w:rsidR="005F7767" w:rsidRPr="005F7767" w:rsidRDefault="005F7767" w:rsidP="005F7767">
            <w:pPr>
              <w:pStyle w:val="NoSpacing"/>
              <w:rPr>
                <w:sz w:val="23"/>
              </w:rPr>
            </w:pPr>
          </w:p>
        </w:tc>
        <w:tc>
          <w:tcPr>
            <w:tcW w:w="7535" w:type="dxa"/>
            <w:tcBorders>
              <w:left w:val="nil"/>
              <w:right w:val="nil"/>
            </w:tcBorders>
          </w:tcPr>
          <w:p w:rsidR="005F7767" w:rsidRPr="005F7767" w:rsidRDefault="005F7767" w:rsidP="005F7767">
            <w:pPr>
              <w:pStyle w:val="NoSpacing"/>
              <w:rPr>
                <w:sz w:val="23"/>
              </w:rPr>
            </w:pPr>
          </w:p>
        </w:tc>
        <w:tc>
          <w:tcPr>
            <w:tcW w:w="2160" w:type="dxa"/>
            <w:tcBorders>
              <w:left w:val="nil"/>
              <w:right w:val="nil"/>
            </w:tcBorders>
          </w:tcPr>
          <w:p w:rsidR="005F7767" w:rsidRPr="005F7767" w:rsidRDefault="005F7767" w:rsidP="005F7767">
            <w:pPr>
              <w:pStyle w:val="NoSpacing"/>
              <w:rPr>
                <w:sz w:val="23"/>
              </w:rPr>
            </w:pPr>
          </w:p>
        </w:tc>
      </w:tr>
      <w:tr w:rsidR="0026280F" w:rsidRPr="005F7767" w:rsidTr="00661B6A">
        <w:trPr>
          <w:cantSplit/>
        </w:trPr>
        <w:tc>
          <w:tcPr>
            <w:tcW w:w="1724" w:type="dxa"/>
            <w:tcBorders>
              <w:bottom w:val="single" w:sz="4" w:space="0" w:color="auto"/>
            </w:tcBorders>
          </w:tcPr>
          <w:p w:rsidR="0026280F" w:rsidRPr="005F7767" w:rsidRDefault="0026280F" w:rsidP="0026280F">
            <w:pPr>
              <w:pStyle w:val="NoSpacing"/>
              <w:rPr>
                <w:sz w:val="23"/>
              </w:rPr>
            </w:pPr>
            <w:r w:rsidRPr="005F7767">
              <w:rPr>
                <w:sz w:val="23"/>
              </w:rPr>
              <w:t>Mar. 1</w:t>
            </w:r>
            <w:r>
              <w:rPr>
                <w:sz w:val="23"/>
              </w:rPr>
              <w:t>3 &amp; 15</w:t>
            </w:r>
          </w:p>
        </w:tc>
        <w:tc>
          <w:tcPr>
            <w:tcW w:w="2369" w:type="dxa"/>
            <w:tcBorders>
              <w:bottom w:val="single" w:sz="4" w:space="0" w:color="auto"/>
            </w:tcBorders>
          </w:tcPr>
          <w:p w:rsidR="0026280F" w:rsidRPr="005F7767" w:rsidRDefault="0026280F" w:rsidP="005F7767">
            <w:pPr>
              <w:pStyle w:val="NoSpacing"/>
              <w:rPr>
                <w:sz w:val="23"/>
              </w:rPr>
            </w:pPr>
            <w:r w:rsidRPr="005F7767">
              <w:rPr>
                <w:sz w:val="23"/>
              </w:rPr>
              <w:t>Discussion of bibliographic essays.</w:t>
            </w:r>
          </w:p>
        </w:tc>
        <w:tc>
          <w:tcPr>
            <w:tcW w:w="7535" w:type="dxa"/>
            <w:tcBorders>
              <w:bottom w:val="single" w:sz="4" w:space="0" w:color="auto"/>
            </w:tcBorders>
          </w:tcPr>
          <w:p w:rsidR="0026280F" w:rsidRPr="005F7767" w:rsidRDefault="0026280F" w:rsidP="00661B6A">
            <w:pPr>
              <w:pStyle w:val="NoSpacing"/>
              <w:rPr>
                <w:sz w:val="23"/>
              </w:rPr>
            </w:pPr>
            <w:r w:rsidRPr="005F7767">
              <w:rPr>
                <w:sz w:val="23"/>
              </w:rPr>
              <w:t>No reading.</w:t>
            </w:r>
          </w:p>
        </w:tc>
        <w:tc>
          <w:tcPr>
            <w:tcW w:w="2160" w:type="dxa"/>
            <w:tcBorders>
              <w:bottom w:val="single" w:sz="4" w:space="0" w:color="auto"/>
            </w:tcBorders>
          </w:tcPr>
          <w:p w:rsidR="0026280F" w:rsidRPr="005F7767" w:rsidRDefault="000B54B4" w:rsidP="005F7767">
            <w:pPr>
              <w:pStyle w:val="NoSpacing"/>
              <w:rPr>
                <w:sz w:val="23"/>
              </w:rPr>
            </w:pPr>
            <w:r w:rsidRPr="005F7767">
              <w:rPr>
                <w:sz w:val="23"/>
              </w:rPr>
              <w:t>Bibliographic essays</w:t>
            </w:r>
            <w:r>
              <w:rPr>
                <w:sz w:val="23"/>
              </w:rPr>
              <w:t xml:space="preserve"> due in class on Tues., March 13.</w:t>
            </w:r>
          </w:p>
        </w:tc>
      </w:tr>
      <w:tr w:rsidR="0026280F" w:rsidRPr="005F7767" w:rsidTr="00661B6A">
        <w:trPr>
          <w:cantSplit/>
        </w:trPr>
        <w:tc>
          <w:tcPr>
            <w:tcW w:w="1724" w:type="dxa"/>
            <w:tcBorders>
              <w:left w:val="nil"/>
              <w:right w:val="nil"/>
            </w:tcBorders>
          </w:tcPr>
          <w:p w:rsidR="0026280F" w:rsidRPr="005F7767" w:rsidRDefault="0026280F" w:rsidP="005F7767">
            <w:pPr>
              <w:pStyle w:val="NoSpacing"/>
              <w:rPr>
                <w:sz w:val="23"/>
              </w:rPr>
            </w:pPr>
          </w:p>
        </w:tc>
        <w:tc>
          <w:tcPr>
            <w:tcW w:w="2369" w:type="dxa"/>
            <w:tcBorders>
              <w:left w:val="nil"/>
              <w:right w:val="nil"/>
            </w:tcBorders>
          </w:tcPr>
          <w:p w:rsidR="0026280F" w:rsidRPr="005F7767" w:rsidRDefault="0026280F" w:rsidP="005F7767">
            <w:pPr>
              <w:pStyle w:val="NoSpacing"/>
              <w:rPr>
                <w:sz w:val="23"/>
              </w:rPr>
            </w:pPr>
          </w:p>
        </w:tc>
        <w:tc>
          <w:tcPr>
            <w:tcW w:w="7535" w:type="dxa"/>
            <w:tcBorders>
              <w:left w:val="nil"/>
              <w:right w:val="nil"/>
            </w:tcBorders>
          </w:tcPr>
          <w:p w:rsidR="0026280F" w:rsidRPr="005F7767" w:rsidRDefault="0026280F" w:rsidP="005F7767">
            <w:pPr>
              <w:pStyle w:val="NoSpacing"/>
              <w:rPr>
                <w:sz w:val="23"/>
              </w:rPr>
            </w:pPr>
          </w:p>
        </w:tc>
        <w:tc>
          <w:tcPr>
            <w:tcW w:w="2160" w:type="dxa"/>
            <w:tcBorders>
              <w:left w:val="nil"/>
              <w:right w:val="nil"/>
            </w:tcBorders>
          </w:tcPr>
          <w:p w:rsidR="0026280F" w:rsidRPr="005F7767" w:rsidRDefault="0026280F" w:rsidP="005F7767">
            <w:pPr>
              <w:pStyle w:val="NoSpacing"/>
              <w:rPr>
                <w:sz w:val="23"/>
              </w:rPr>
            </w:pPr>
          </w:p>
        </w:tc>
      </w:tr>
      <w:tr w:rsidR="0026280F" w:rsidRPr="005F7767" w:rsidTr="00764583">
        <w:trPr>
          <w:cantSplit/>
        </w:trPr>
        <w:tc>
          <w:tcPr>
            <w:tcW w:w="1724" w:type="dxa"/>
            <w:tcBorders>
              <w:bottom w:val="single" w:sz="4" w:space="0" w:color="auto"/>
            </w:tcBorders>
          </w:tcPr>
          <w:p w:rsidR="0026280F" w:rsidRPr="005F7767" w:rsidRDefault="0026280F" w:rsidP="005F7767">
            <w:pPr>
              <w:pStyle w:val="NoSpacing"/>
              <w:rPr>
                <w:sz w:val="23"/>
              </w:rPr>
            </w:pPr>
            <w:r>
              <w:rPr>
                <w:sz w:val="23"/>
              </w:rPr>
              <w:t>Mar. 20 &amp; 22</w:t>
            </w:r>
          </w:p>
        </w:tc>
        <w:tc>
          <w:tcPr>
            <w:tcW w:w="2369" w:type="dxa"/>
            <w:tcBorders>
              <w:bottom w:val="single" w:sz="4" w:space="0" w:color="auto"/>
            </w:tcBorders>
          </w:tcPr>
          <w:p w:rsidR="0026280F" w:rsidRPr="005F7767" w:rsidRDefault="0026280F" w:rsidP="005F7767">
            <w:pPr>
              <w:pStyle w:val="NoSpacing"/>
              <w:rPr>
                <w:sz w:val="23"/>
              </w:rPr>
            </w:pPr>
            <w:r w:rsidRPr="005F7767">
              <w:rPr>
                <w:sz w:val="23"/>
              </w:rPr>
              <w:t>No class.  Individual student-instructor meetings.</w:t>
            </w:r>
          </w:p>
        </w:tc>
        <w:tc>
          <w:tcPr>
            <w:tcW w:w="7535" w:type="dxa"/>
            <w:tcBorders>
              <w:bottom w:val="single" w:sz="4" w:space="0" w:color="auto"/>
            </w:tcBorders>
          </w:tcPr>
          <w:p w:rsidR="0026280F" w:rsidRPr="005F7767" w:rsidRDefault="0026280F" w:rsidP="005F7767">
            <w:pPr>
              <w:pStyle w:val="NoSpacing"/>
              <w:rPr>
                <w:sz w:val="23"/>
              </w:rPr>
            </w:pPr>
            <w:r w:rsidRPr="005F7767">
              <w:rPr>
                <w:sz w:val="23"/>
              </w:rPr>
              <w:t>Continue reading for final paper.</w:t>
            </w:r>
          </w:p>
        </w:tc>
        <w:tc>
          <w:tcPr>
            <w:tcW w:w="2160" w:type="dxa"/>
            <w:tcBorders>
              <w:bottom w:val="single" w:sz="4" w:space="0" w:color="auto"/>
            </w:tcBorders>
          </w:tcPr>
          <w:p w:rsidR="0026280F" w:rsidRPr="005F7767" w:rsidRDefault="0026280F" w:rsidP="00CA6DEC">
            <w:pPr>
              <w:pStyle w:val="NoSpacing"/>
              <w:rPr>
                <w:sz w:val="23"/>
              </w:rPr>
            </w:pPr>
            <w:r w:rsidRPr="005F7767">
              <w:rPr>
                <w:sz w:val="23"/>
              </w:rPr>
              <w:t>Peer reviews due to instructor’s mailbox in Evans Hall 109 B by 5:00 p.m. on Tues., March 2</w:t>
            </w:r>
            <w:r w:rsidR="00CA6DEC">
              <w:rPr>
                <w:sz w:val="23"/>
              </w:rPr>
              <w:t>0</w:t>
            </w:r>
            <w:r w:rsidRPr="005F7767">
              <w:rPr>
                <w:sz w:val="23"/>
              </w:rPr>
              <w:t>.</w:t>
            </w:r>
          </w:p>
        </w:tc>
      </w:tr>
      <w:tr w:rsidR="0026280F" w:rsidRPr="005F7767" w:rsidTr="00764583">
        <w:trPr>
          <w:cantSplit/>
        </w:trPr>
        <w:tc>
          <w:tcPr>
            <w:tcW w:w="1724" w:type="dxa"/>
            <w:tcBorders>
              <w:left w:val="nil"/>
              <w:bottom w:val="nil"/>
              <w:right w:val="nil"/>
            </w:tcBorders>
          </w:tcPr>
          <w:p w:rsidR="0026280F" w:rsidRPr="005F7767" w:rsidRDefault="0026280F" w:rsidP="005F7767">
            <w:pPr>
              <w:pStyle w:val="NoSpacing"/>
              <w:rPr>
                <w:sz w:val="23"/>
              </w:rPr>
            </w:pPr>
          </w:p>
        </w:tc>
        <w:tc>
          <w:tcPr>
            <w:tcW w:w="2369" w:type="dxa"/>
            <w:tcBorders>
              <w:left w:val="nil"/>
              <w:bottom w:val="nil"/>
              <w:right w:val="nil"/>
            </w:tcBorders>
          </w:tcPr>
          <w:p w:rsidR="0026280F" w:rsidRPr="005F7767" w:rsidRDefault="0026280F" w:rsidP="005F7767">
            <w:pPr>
              <w:pStyle w:val="NoSpacing"/>
              <w:rPr>
                <w:sz w:val="23"/>
              </w:rPr>
            </w:pPr>
          </w:p>
        </w:tc>
        <w:tc>
          <w:tcPr>
            <w:tcW w:w="7535" w:type="dxa"/>
            <w:tcBorders>
              <w:left w:val="nil"/>
              <w:bottom w:val="nil"/>
              <w:right w:val="nil"/>
            </w:tcBorders>
          </w:tcPr>
          <w:p w:rsidR="0026280F" w:rsidRPr="005F7767" w:rsidRDefault="0026280F" w:rsidP="005F7767">
            <w:pPr>
              <w:pStyle w:val="NoSpacing"/>
              <w:rPr>
                <w:sz w:val="23"/>
              </w:rPr>
            </w:pPr>
          </w:p>
        </w:tc>
        <w:tc>
          <w:tcPr>
            <w:tcW w:w="2160" w:type="dxa"/>
            <w:tcBorders>
              <w:left w:val="nil"/>
              <w:bottom w:val="nil"/>
              <w:right w:val="nil"/>
            </w:tcBorders>
          </w:tcPr>
          <w:p w:rsidR="0026280F" w:rsidRPr="005F7767" w:rsidRDefault="0026280F" w:rsidP="005F7767">
            <w:pPr>
              <w:pStyle w:val="NoSpacing"/>
              <w:rPr>
                <w:sz w:val="23"/>
              </w:rPr>
            </w:pPr>
          </w:p>
        </w:tc>
      </w:tr>
      <w:tr w:rsidR="007D69C0" w:rsidRPr="005F7767" w:rsidTr="00764583">
        <w:trPr>
          <w:cantSplit/>
        </w:trPr>
        <w:tc>
          <w:tcPr>
            <w:tcW w:w="1724" w:type="dxa"/>
            <w:tcBorders>
              <w:top w:val="nil"/>
              <w:left w:val="nil"/>
              <w:bottom w:val="nil"/>
              <w:right w:val="nil"/>
            </w:tcBorders>
          </w:tcPr>
          <w:p w:rsidR="007D69C0" w:rsidRPr="005F7767" w:rsidRDefault="007D69C0" w:rsidP="005F7767">
            <w:pPr>
              <w:pStyle w:val="NoSpacing"/>
              <w:rPr>
                <w:sz w:val="23"/>
              </w:rPr>
            </w:pPr>
          </w:p>
        </w:tc>
        <w:tc>
          <w:tcPr>
            <w:tcW w:w="2369" w:type="dxa"/>
            <w:tcBorders>
              <w:top w:val="nil"/>
              <w:left w:val="nil"/>
              <w:bottom w:val="nil"/>
              <w:right w:val="nil"/>
            </w:tcBorders>
          </w:tcPr>
          <w:p w:rsidR="007D69C0" w:rsidRPr="005F7767" w:rsidRDefault="007D69C0" w:rsidP="005F7767">
            <w:pPr>
              <w:pStyle w:val="NoSpacing"/>
              <w:rPr>
                <w:sz w:val="23"/>
              </w:rPr>
            </w:pPr>
          </w:p>
        </w:tc>
        <w:tc>
          <w:tcPr>
            <w:tcW w:w="7535" w:type="dxa"/>
            <w:tcBorders>
              <w:top w:val="nil"/>
              <w:left w:val="nil"/>
              <w:bottom w:val="nil"/>
              <w:right w:val="nil"/>
            </w:tcBorders>
          </w:tcPr>
          <w:p w:rsidR="007D69C0" w:rsidRPr="005F7767" w:rsidRDefault="007D69C0" w:rsidP="005F7767">
            <w:pPr>
              <w:pStyle w:val="NoSpacing"/>
              <w:rPr>
                <w:sz w:val="23"/>
              </w:rPr>
            </w:pPr>
          </w:p>
        </w:tc>
        <w:tc>
          <w:tcPr>
            <w:tcW w:w="2160" w:type="dxa"/>
            <w:tcBorders>
              <w:top w:val="nil"/>
              <w:left w:val="nil"/>
              <w:bottom w:val="nil"/>
              <w:right w:val="nil"/>
            </w:tcBorders>
          </w:tcPr>
          <w:p w:rsidR="007D69C0" w:rsidRPr="005F7767" w:rsidRDefault="007D69C0" w:rsidP="005F7767">
            <w:pPr>
              <w:pStyle w:val="NoSpacing"/>
              <w:rPr>
                <w:sz w:val="23"/>
              </w:rPr>
            </w:pPr>
          </w:p>
        </w:tc>
      </w:tr>
      <w:tr w:rsidR="00764583" w:rsidRPr="005F7767" w:rsidTr="00764583">
        <w:trPr>
          <w:cantSplit/>
        </w:trPr>
        <w:tc>
          <w:tcPr>
            <w:tcW w:w="1724" w:type="dxa"/>
            <w:tcBorders>
              <w:top w:val="nil"/>
              <w:left w:val="nil"/>
              <w:right w:val="nil"/>
            </w:tcBorders>
          </w:tcPr>
          <w:p w:rsidR="00764583" w:rsidRPr="005F7767" w:rsidRDefault="00764583" w:rsidP="005F7767">
            <w:pPr>
              <w:pStyle w:val="NoSpacing"/>
              <w:rPr>
                <w:sz w:val="23"/>
              </w:rPr>
            </w:pPr>
          </w:p>
        </w:tc>
        <w:tc>
          <w:tcPr>
            <w:tcW w:w="2369" w:type="dxa"/>
            <w:tcBorders>
              <w:top w:val="nil"/>
              <w:left w:val="nil"/>
              <w:right w:val="nil"/>
            </w:tcBorders>
          </w:tcPr>
          <w:p w:rsidR="00764583" w:rsidRPr="005F7767" w:rsidRDefault="00764583" w:rsidP="005F7767">
            <w:pPr>
              <w:pStyle w:val="NoSpacing"/>
              <w:rPr>
                <w:sz w:val="23"/>
              </w:rPr>
            </w:pPr>
          </w:p>
        </w:tc>
        <w:tc>
          <w:tcPr>
            <w:tcW w:w="7535" w:type="dxa"/>
            <w:tcBorders>
              <w:top w:val="nil"/>
              <w:left w:val="nil"/>
              <w:right w:val="nil"/>
            </w:tcBorders>
          </w:tcPr>
          <w:p w:rsidR="00764583" w:rsidRPr="005F7767" w:rsidRDefault="00764583" w:rsidP="005F7767">
            <w:pPr>
              <w:pStyle w:val="NoSpacing"/>
              <w:rPr>
                <w:sz w:val="23"/>
              </w:rPr>
            </w:pPr>
          </w:p>
        </w:tc>
        <w:tc>
          <w:tcPr>
            <w:tcW w:w="2160" w:type="dxa"/>
            <w:tcBorders>
              <w:top w:val="nil"/>
              <w:left w:val="nil"/>
              <w:right w:val="nil"/>
            </w:tcBorders>
          </w:tcPr>
          <w:p w:rsidR="00764583" w:rsidRPr="005F7767" w:rsidRDefault="00764583" w:rsidP="005F7767">
            <w:pPr>
              <w:pStyle w:val="NoSpacing"/>
              <w:rPr>
                <w:sz w:val="23"/>
              </w:rPr>
            </w:pPr>
          </w:p>
        </w:tc>
      </w:tr>
      <w:tr w:rsidR="0026280F" w:rsidRPr="005F7767" w:rsidTr="00661B6A">
        <w:trPr>
          <w:cantSplit/>
        </w:trPr>
        <w:tc>
          <w:tcPr>
            <w:tcW w:w="1724" w:type="dxa"/>
            <w:tcBorders>
              <w:bottom w:val="single" w:sz="4" w:space="0" w:color="auto"/>
            </w:tcBorders>
          </w:tcPr>
          <w:p w:rsidR="0026280F" w:rsidRPr="005F7767" w:rsidRDefault="00186586" w:rsidP="005F7767">
            <w:pPr>
              <w:pStyle w:val="NoSpacing"/>
              <w:rPr>
                <w:sz w:val="23"/>
              </w:rPr>
            </w:pPr>
            <w:r>
              <w:rPr>
                <w:sz w:val="23"/>
              </w:rPr>
              <w:t>Mar. 27</w:t>
            </w:r>
          </w:p>
        </w:tc>
        <w:tc>
          <w:tcPr>
            <w:tcW w:w="2369" w:type="dxa"/>
            <w:tcBorders>
              <w:bottom w:val="single" w:sz="4" w:space="0" w:color="auto"/>
            </w:tcBorders>
          </w:tcPr>
          <w:p w:rsidR="0026280F" w:rsidRPr="005F7767" w:rsidRDefault="001C3C19" w:rsidP="005F7767">
            <w:pPr>
              <w:pStyle w:val="NoSpacing"/>
              <w:rPr>
                <w:sz w:val="23"/>
              </w:rPr>
            </w:pPr>
            <w:r w:rsidRPr="005F7767">
              <w:rPr>
                <w:sz w:val="23"/>
              </w:rPr>
              <w:t>Gender and history</w:t>
            </w:r>
          </w:p>
        </w:tc>
        <w:tc>
          <w:tcPr>
            <w:tcW w:w="7535" w:type="dxa"/>
            <w:tcBorders>
              <w:bottom w:val="single" w:sz="4" w:space="0" w:color="auto"/>
            </w:tcBorders>
          </w:tcPr>
          <w:p w:rsidR="0026280F" w:rsidRPr="005F7767" w:rsidRDefault="001C3C19" w:rsidP="005F7767">
            <w:pPr>
              <w:pStyle w:val="NoSpacing"/>
              <w:rPr>
                <w:sz w:val="23"/>
              </w:rPr>
            </w:pPr>
            <w:r w:rsidRPr="005F7767">
              <w:rPr>
                <w:sz w:val="23"/>
              </w:rPr>
              <w:t xml:space="preserve">Joan Scott, “Gender: A Useful Category of Historical Analysis,” </w:t>
            </w:r>
            <w:r w:rsidRPr="005F7767">
              <w:rPr>
                <w:i/>
                <w:sz w:val="23"/>
              </w:rPr>
              <w:t>American Historical Review</w:t>
            </w:r>
            <w:r w:rsidRPr="005F7767">
              <w:rPr>
                <w:sz w:val="23"/>
              </w:rPr>
              <w:t xml:space="preserve"> 91, no. 5 (Dec. 1986): 1053-1075.</w:t>
            </w:r>
          </w:p>
        </w:tc>
        <w:tc>
          <w:tcPr>
            <w:tcW w:w="2160" w:type="dxa"/>
            <w:tcBorders>
              <w:bottom w:val="single" w:sz="4" w:space="0" w:color="auto"/>
            </w:tcBorders>
          </w:tcPr>
          <w:p w:rsidR="0026280F" w:rsidRPr="005F7767" w:rsidRDefault="0026280F" w:rsidP="005F7767">
            <w:pPr>
              <w:pStyle w:val="NoSpacing"/>
              <w:rPr>
                <w:sz w:val="23"/>
              </w:rPr>
            </w:pPr>
          </w:p>
        </w:tc>
      </w:tr>
      <w:tr w:rsidR="00186586" w:rsidRPr="005F7767" w:rsidTr="00661B6A">
        <w:trPr>
          <w:cantSplit/>
        </w:trPr>
        <w:tc>
          <w:tcPr>
            <w:tcW w:w="1724" w:type="dxa"/>
            <w:tcBorders>
              <w:bottom w:val="single" w:sz="4" w:space="0" w:color="auto"/>
            </w:tcBorders>
          </w:tcPr>
          <w:p w:rsidR="00186586" w:rsidRDefault="00186586" w:rsidP="005F7767">
            <w:pPr>
              <w:pStyle w:val="NoSpacing"/>
              <w:rPr>
                <w:sz w:val="23"/>
              </w:rPr>
            </w:pPr>
            <w:r>
              <w:rPr>
                <w:sz w:val="23"/>
              </w:rPr>
              <w:t>Mar. 29</w:t>
            </w:r>
          </w:p>
        </w:tc>
        <w:tc>
          <w:tcPr>
            <w:tcW w:w="2369" w:type="dxa"/>
            <w:tcBorders>
              <w:bottom w:val="single" w:sz="4" w:space="0" w:color="auto"/>
            </w:tcBorders>
          </w:tcPr>
          <w:p w:rsidR="00186586" w:rsidRPr="005F7767" w:rsidRDefault="001C3C19" w:rsidP="005F7767">
            <w:pPr>
              <w:pStyle w:val="NoSpacing"/>
              <w:rPr>
                <w:sz w:val="23"/>
              </w:rPr>
            </w:pPr>
            <w:r w:rsidRPr="005F7767">
              <w:rPr>
                <w:sz w:val="23"/>
              </w:rPr>
              <w:t>Gender and history, continued</w:t>
            </w:r>
          </w:p>
        </w:tc>
        <w:tc>
          <w:tcPr>
            <w:tcW w:w="7535" w:type="dxa"/>
            <w:tcBorders>
              <w:bottom w:val="single" w:sz="4" w:space="0" w:color="auto"/>
            </w:tcBorders>
          </w:tcPr>
          <w:p w:rsidR="00186586" w:rsidRPr="005F7767" w:rsidRDefault="001C3C19" w:rsidP="005F7767">
            <w:pPr>
              <w:pStyle w:val="NoSpacing"/>
              <w:rPr>
                <w:sz w:val="23"/>
              </w:rPr>
            </w:pPr>
            <w:r w:rsidRPr="005F7767">
              <w:rPr>
                <w:sz w:val="23"/>
              </w:rPr>
              <w:t xml:space="preserve">Londa Schiebinger, “Why Mammals Are Called Mammals: Gender Politics in Eighteenth-Century Natural History,” </w:t>
            </w:r>
            <w:r w:rsidRPr="005F7767">
              <w:rPr>
                <w:i/>
                <w:sz w:val="23"/>
              </w:rPr>
              <w:t>American Historical Review</w:t>
            </w:r>
            <w:r w:rsidRPr="005F7767">
              <w:rPr>
                <w:sz w:val="23"/>
              </w:rPr>
              <w:t xml:space="preserve"> 98, no. 2 (1993): 382-411.</w:t>
            </w:r>
          </w:p>
        </w:tc>
        <w:tc>
          <w:tcPr>
            <w:tcW w:w="2160" w:type="dxa"/>
            <w:tcBorders>
              <w:bottom w:val="single" w:sz="4" w:space="0" w:color="auto"/>
            </w:tcBorders>
          </w:tcPr>
          <w:p w:rsidR="00186586" w:rsidRPr="005F7767" w:rsidRDefault="00186586" w:rsidP="005F7767">
            <w:pPr>
              <w:pStyle w:val="NoSpacing"/>
              <w:rPr>
                <w:sz w:val="23"/>
              </w:rPr>
            </w:pPr>
          </w:p>
        </w:tc>
      </w:tr>
      <w:tr w:rsidR="0026280F" w:rsidRPr="005F7767" w:rsidTr="00661B6A">
        <w:trPr>
          <w:cantSplit/>
        </w:trPr>
        <w:tc>
          <w:tcPr>
            <w:tcW w:w="1724" w:type="dxa"/>
            <w:tcBorders>
              <w:left w:val="nil"/>
              <w:bottom w:val="nil"/>
              <w:right w:val="nil"/>
            </w:tcBorders>
          </w:tcPr>
          <w:p w:rsidR="0026280F" w:rsidRPr="005F7767" w:rsidRDefault="0026280F" w:rsidP="005F7767">
            <w:pPr>
              <w:pStyle w:val="NoSpacing"/>
              <w:rPr>
                <w:sz w:val="23"/>
              </w:rPr>
            </w:pPr>
          </w:p>
        </w:tc>
        <w:tc>
          <w:tcPr>
            <w:tcW w:w="2369" w:type="dxa"/>
            <w:tcBorders>
              <w:left w:val="nil"/>
              <w:bottom w:val="nil"/>
              <w:right w:val="nil"/>
            </w:tcBorders>
          </w:tcPr>
          <w:p w:rsidR="0026280F" w:rsidRPr="005F7767" w:rsidRDefault="0026280F" w:rsidP="005F7767">
            <w:pPr>
              <w:pStyle w:val="NoSpacing"/>
              <w:rPr>
                <w:sz w:val="23"/>
              </w:rPr>
            </w:pPr>
          </w:p>
        </w:tc>
        <w:tc>
          <w:tcPr>
            <w:tcW w:w="7535" w:type="dxa"/>
            <w:tcBorders>
              <w:left w:val="nil"/>
              <w:bottom w:val="nil"/>
              <w:right w:val="nil"/>
            </w:tcBorders>
          </w:tcPr>
          <w:p w:rsidR="0026280F" w:rsidRPr="005F7767" w:rsidRDefault="0026280F" w:rsidP="005F7767">
            <w:pPr>
              <w:pStyle w:val="NoSpacing"/>
              <w:rPr>
                <w:sz w:val="23"/>
              </w:rPr>
            </w:pPr>
          </w:p>
        </w:tc>
        <w:tc>
          <w:tcPr>
            <w:tcW w:w="2160" w:type="dxa"/>
            <w:tcBorders>
              <w:left w:val="nil"/>
              <w:bottom w:val="nil"/>
              <w:right w:val="nil"/>
            </w:tcBorders>
          </w:tcPr>
          <w:p w:rsidR="0026280F" w:rsidRPr="005F7767" w:rsidRDefault="0026280F" w:rsidP="005F7767">
            <w:pPr>
              <w:pStyle w:val="NoSpacing"/>
              <w:rPr>
                <w:sz w:val="23"/>
              </w:rPr>
            </w:pPr>
          </w:p>
        </w:tc>
      </w:tr>
      <w:tr w:rsidR="0026280F" w:rsidRPr="005F7767" w:rsidTr="00661B6A">
        <w:trPr>
          <w:cantSplit/>
        </w:trPr>
        <w:tc>
          <w:tcPr>
            <w:tcW w:w="1724" w:type="dxa"/>
            <w:tcBorders>
              <w:top w:val="single" w:sz="4" w:space="0" w:color="auto"/>
            </w:tcBorders>
          </w:tcPr>
          <w:p w:rsidR="0026280F" w:rsidRPr="005F7767" w:rsidRDefault="00186586" w:rsidP="005F7767">
            <w:pPr>
              <w:pStyle w:val="NoSpacing"/>
              <w:rPr>
                <w:sz w:val="23"/>
              </w:rPr>
            </w:pPr>
            <w:r>
              <w:rPr>
                <w:sz w:val="23"/>
              </w:rPr>
              <w:t>Apr. 3</w:t>
            </w:r>
          </w:p>
        </w:tc>
        <w:tc>
          <w:tcPr>
            <w:tcW w:w="2369" w:type="dxa"/>
            <w:tcBorders>
              <w:top w:val="single" w:sz="4" w:space="0" w:color="auto"/>
            </w:tcBorders>
          </w:tcPr>
          <w:p w:rsidR="0026280F" w:rsidRPr="005F7767" w:rsidRDefault="001C3C19" w:rsidP="001C3C19">
            <w:pPr>
              <w:pStyle w:val="NoSpacing"/>
              <w:rPr>
                <w:sz w:val="23"/>
              </w:rPr>
            </w:pPr>
            <w:r w:rsidRPr="005F7767">
              <w:rPr>
                <w:sz w:val="23"/>
              </w:rPr>
              <w:t>Discussion of progress on essays.</w:t>
            </w:r>
            <w:r>
              <w:rPr>
                <w:sz w:val="23"/>
              </w:rPr>
              <w:t xml:space="preserve"> </w:t>
            </w:r>
          </w:p>
        </w:tc>
        <w:tc>
          <w:tcPr>
            <w:tcW w:w="7535" w:type="dxa"/>
            <w:tcBorders>
              <w:top w:val="single" w:sz="4" w:space="0" w:color="auto"/>
            </w:tcBorders>
          </w:tcPr>
          <w:p w:rsidR="0026280F" w:rsidRPr="005F7767" w:rsidRDefault="001C3C19" w:rsidP="001C3C19">
            <w:pPr>
              <w:pStyle w:val="NoSpacing"/>
              <w:rPr>
                <w:sz w:val="23"/>
              </w:rPr>
            </w:pPr>
            <w:r w:rsidRPr="005F7767">
              <w:rPr>
                <w:sz w:val="23"/>
              </w:rPr>
              <w:t>Continue reading for</w:t>
            </w:r>
            <w:r w:rsidR="00DF435F">
              <w:rPr>
                <w:sz w:val="23"/>
              </w:rPr>
              <w:t>, and working on,</w:t>
            </w:r>
            <w:r w:rsidRPr="005F7767">
              <w:rPr>
                <w:sz w:val="23"/>
              </w:rPr>
              <w:t xml:space="preserve"> final paper.</w:t>
            </w:r>
            <w:r>
              <w:rPr>
                <w:sz w:val="23"/>
              </w:rPr>
              <w:t xml:space="preserve"> </w:t>
            </w:r>
          </w:p>
        </w:tc>
        <w:tc>
          <w:tcPr>
            <w:tcW w:w="2160" w:type="dxa"/>
            <w:tcBorders>
              <w:top w:val="single" w:sz="4" w:space="0" w:color="auto"/>
            </w:tcBorders>
          </w:tcPr>
          <w:p w:rsidR="0026280F" w:rsidRPr="005F7767" w:rsidRDefault="001C3C19" w:rsidP="005F7767">
            <w:pPr>
              <w:pStyle w:val="NoSpacing"/>
              <w:rPr>
                <w:sz w:val="23"/>
              </w:rPr>
            </w:pPr>
            <w:r w:rsidRPr="005F7767">
              <w:rPr>
                <w:sz w:val="23"/>
              </w:rPr>
              <w:t>Each student should be prepared to discuss their paper.</w:t>
            </w:r>
          </w:p>
        </w:tc>
      </w:tr>
      <w:tr w:rsidR="00186586" w:rsidRPr="005F7767" w:rsidTr="00661B6A">
        <w:trPr>
          <w:cantSplit/>
        </w:trPr>
        <w:tc>
          <w:tcPr>
            <w:tcW w:w="1724" w:type="dxa"/>
            <w:tcBorders>
              <w:bottom w:val="single" w:sz="4" w:space="0" w:color="auto"/>
            </w:tcBorders>
          </w:tcPr>
          <w:p w:rsidR="00186586" w:rsidRPr="005F7767" w:rsidRDefault="00186586" w:rsidP="005F7767">
            <w:pPr>
              <w:pStyle w:val="NoSpacing"/>
              <w:rPr>
                <w:sz w:val="23"/>
              </w:rPr>
            </w:pPr>
            <w:r>
              <w:rPr>
                <w:sz w:val="23"/>
              </w:rPr>
              <w:t>Apr. 5</w:t>
            </w:r>
          </w:p>
        </w:tc>
        <w:tc>
          <w:tcPr>
            <w:tcW w:w="2369" w:type="dxa"/>
            <w:tcBorders>
              <w:bottom w:val="single" w:sz="4" w:space="0" w:color="auto"/>
            </w:tcBorders>
          </w:tcPr>
          <w:p w:rsidR="00186586" w:rsidRPr="005F7767" w:rsidRDefault="00EC6EF7" w:rsidP="005F7767">
            <w:pPr>
              <w:pStyle w:val="NoSpacing"/>
              <w:rPr>
                <w:sz w:val="23"/>
              </w:rPr>
            </w:pPr>
            <w:r>
              <w:rPr>
                <w:sz w:val="23"/>
              </w:rPr>
              <w:t>Inventions, Fabrications, Creations, and Forgeries</w:t>
            </w:r>
          </w:p>
        </w:tc>
        <w:tc>
          <w:tcPr>
            <w:tcW w:w="7535" w:type="dxa"/>
            <w:tcBorders>
              <w:bottom w:val="single" w:sz="4" w:space="0" w:color="auto"/>
            </w:tcBorders>
          </w:tcPr>
          <w:p w:rsidR="00186586" w:rsidRPr="005F7767" w:rsidRDefault="00186586" w:rsidP="00661B6A">
            <w:pPr>
              <w:pStyle w:val="NoSpacing"/>
              <w:rPr>
                <w:sz w:val="23"/>
              </w:rPr>
            </w:pPr>
            <w:r w:rsidRPr="005F7767">
              <w:rPr>
                <w:sz w:val="23"/>
              </w:rPr>
              <w:t xml:space="preserve">Hugh Trevor-Roper, “The Invention of Tradition: The Highland Tradition of Scotland,” in </w:t>
            </w:r>
            <w:r w:rsidRPr="005F7767">
              <w:rPr>
                <w:i/>
                <w:sz w:val="23"/>
              </w:rPr>
              <w:t>The Invention of Tradition</w:t>
            </w:r>
            <w:r w:rsidRPr="005F7767">
              <w:rPr>
                <w:sz w:val="23"/>
              </w:rPr>
              <w:t>, eds. E. J. Hobsbawm and Terence O. Ranger (Cambridge, 1983), 15-41</w:t>
            </w:r>
            <w:r w:rsidR="00EC6EF7">
              <w:rPr>
                <w:sz w:val="23"/>
              </w:rPr>
              <w:t>,</w:t>
            </w:r>
            <w:r w:rsidR="00B62F54">
              <w:rPr>
                <w:sz w:val="23"/>
              </w:rPr>
              <w:t xml:space="preserve"> and Nick Cullather, “Parable of Seeds: The Green Revolution in the Modernizing Imagination,” in </w:t>
            </w:r>
            <w:r w:rsidR="00B62F54">
              <w:rPr>
                <w:i/>
                <w:sz w:val="23"/>
              </w:rPr>
              <w:t>The Transformation of Southeast Asia</w:t>
            </w:r>
            <w:r w:rsidR="00B62F54">
              <w:rPr>
                <w:sz w:val="23"/>
              </w:rPr>
              <w:t>, eds. Frey, Pruessen, Tan (2003), 257-267</w:t>
            </w:r>
            <w:r w:rsidRPr="005F7767">
              <w:rPr>
                <w:sz w:val="23"/>
              </w:rPr>
              <w:t>.</w:t>
            </w:r>
          </w:p>
        </w:tc>
        <w:tc>
          <w:tcPr>
            <w:tcW w:w="2160" w:type="dxa"/>
            <w:tcBorders>
              <w:bottom w:val="single" w:sz="4" w:space="0" w:color="auto"/>
            </w:tcBorders>
          </w:tcPr>
          <w:p w:rsidR="00186586" w:rsidRPr="005F7767" w:rsidRDefault="00186586" w:rsidP="005F7767">
            <w:pPr>
              <w:pStyle w:val="NoSpacing"/>
              <w:rPr>
                <w:sz w:val="23"/>
              </w:rPr>
            </w:pPr>
          </w:p>
        </w:tc>
      </w:tr>
      <w:tr w:rsidR="00186586" w:rsidRPr="005F7767" w:rsidTr="00661B6A">
        <w:trPr>
          <w:cantSplit/>
        </w:trPr>
        <w:tc>
          <w:tcPr>
            <w:tcW w:w="1724" w:type="dxa"/>
            <w:tcBorders>
              <w:left w:val="nil"/>
              <w:right w:val="nil"/>
            </w:tcBorders>
          </w:tcPr>
          <w:p w:rsidR="00186586" w:rsidRPr="005F7767" w:rsidRDefault="00186586" w:rsidP="005F7767">
            <w:pPr>
              <w:pStyle w:val="NoSpacing"/>
              <w:rPr>
                <w:sz w:val="23"/>
              </w:rPr>
            </w:pPr>
          </w:p>
        </w:tc>
        <w:tc>
          <w:tcPr>
            <w:tcW w:w="2369" w:type="dxa"/>
            <w:tcBorders>
              <w:left w:val="nil"/>
              <w:right w:val="nil"/>
            </w:tcBorders>
          </w:tcPr>
          <w:p w:rsidR="00186586" w:rsidRPr="005F7767" w:rsidRDefault="00186586" w:rsidP="005F7767">
            <w:pPr>
              <w:pStyle w:val="NoSpacing"/>
              <w:rPr>
                <w:sz w:val="23"/>
              </w:rPr>
            </w:pPr>
          </w:p>
        </w:tc>
        <w:tc>
          <w:tcPr>
            <w:tcW w:w="7535" w:type="dxa"/>
            <w:tcBorders>
              <w:left w:val="nil"/>
              <w:right w:val="nil"/>
            </w:tcBorders>
          </w:tcPr>
          <w:p w:rsidR="00186586" w:rsidRPr="005F7767" w:rsidRDefault="00186586" w:rsidP="005F7767">
            <w:pPr>
              <w:pStyle w:val="NoSpacing"/>
              <w:rPr>
                <w:sz w:val="23"/>
                <w:u w:val="single"/>
              </w:rPr>
            </w:pPr>
          </w:p>
        </w:tc>
        <w:tc>
          <w:tcPr>
            <w:tcW w:w="2160" w:type="dxa"/>
            <w:tcBorders>
              <w:left w:val="nil"/>
              <w:right w:val="nil"/>
            </w:tcBorders>
          </w:tcPr>
          <w:p w:rsidR="00186586" w:rsidRPr="005F7767" w:rsidRDefault="00186586" w:rsidP="005F7767">
            <w:pPr>
              <w:pStyle w:val="NoSpacing"/>
              <w:rPr>
                <w:sz w:val="23"/>
              </w:rPr>
            </w:pPr>
          </w:p>
        </w:tc>
      </w:tr>
      <w:tr w:rsidR="00186586" w:rsidRPr="005F7767" w:rsidTr="00661B6A">
        <w:trPr>
          <w:cantSplit/>
        </w:trPr>
        <w:tc>
          <w:tcPr>
            <w:tcW w:w="1724" w:type="dxa"/>
            <w:tcBorders>
              <w:bottom w:val="single" w:sz="4" w:space="0" w:color="auto"/>
            </w:tcBorders>
          </w:tcPr>
          <w:p w:rsidR="00186586" w:rsidRPr="005F7767" w:rsidRDefault="00186586" w:rsidP="005F7767">
            <w:pPr>
              <w:pStyle w:val="NoSpacing"/>
              <w:rPr>
                <w:sz w:val="23"/>
              </w:rPr>
            </w:pPr>
            <w:r>
              <w:rPr>
                <w:sz w:val="23"/>
              </w:rPr>
              <w:t>Apr. 10</w:t>
            </w:r>
          </w:p>
        </w:tc>
        <w:tc>
          <w:tcPr>
            <w:tcW w:w="2369" w:type="dxa"/>
            <w:tcBorders>
              <w:bottom w:val="single" w:sz="4" w:space="0" w:color="auto"/>
            </w:tcBorders>
          </w:tcPr>
          <w:p w:rsidR="00186586" w:rsidRPr="005F7767" w:rsidRDefault="00186586" w:rsidP="005F7767">
            <w:pPr>
              <w:pStyle w:val="NoSpacing"/>
              <w:rPr>
                <w:sz w:val="23"/>
              </w:rPr>
            </w:pPr>
            <w:r>
              <w:rPr>
                <w:sz w:val="23"/>
              </w:rPr>
              <w:t>No class.</w:t>
            </w:r>
          </w:p>
        </w:tc>
        <w:tc>
          <w:tcPr>
            <w:tcW w:w="7535" w:type="dxa"/>
            <w:tcBorders>
              <w:bottom w:val="single" w:sz="4" w:space="0" w:color="auto"/>
            </w:tcBorders>
          </w:tcPr>
          <w:p w:rsidR="00186586" w:rsidRPr="005F7767" w:rsidRDefault="00186586" w:rsidP="005F7767">
            <w:pPr>
              <w:pStyle w:val="NoSpacing"/>
              <w:rPr>
                <w:sz w:val="23"/>
              </w:rPr>
            </w:pPr>
          </w:p>
        </w:tc>
        <w:tc>
          <w:tcPr>
            <w:tcW w:w="2160" w:type="dxa"/>
            <w:tcBorders>
              <w:bottom w:val="single" w:sz="4" w:space="0" w:color="auto"/>
            </w:tcBorders>
          </w:tcPr>
          <w:p w:rsidR="00186586" w:rsidRPr="005F7767" w:rsidRDefault="00186586" w:rsidP="005F7767">
            <w:pPr>
              <w:pStyle w:val="NoSpacing"/>
              <w:rPr>
                <w:sz w:val="23"/>
              </w:rPr>
            </w:pPr>
          </w:p>
        </w:tc>
      </w:tr>
      <w:tr w:rsidR="00186586" w:rsidRPr="005F7767" w:rsidTr="00661B6A">
        <w:trPr>
          <w:cantSplit/>
        </w:trPr>
        <w:tc>
          <w:tcPr>
            <w:tcW w:w="1724" w:type="dxa"/>
            <w:tcBorders>
              <w:bottom w:val="single" w:sz="4" w:space="0" w:color="auto"/>
            </w:tcBorders>
          </w:tcPr>
          <w:p w:rsidR="00186586" w:rsidRPr="005F7767" w:rsidRDefault="00186586" w:rsidP="005F7767">
            <w:pPr>
              <w:pStyle w:val="NoSpacing"/>
              <w:rPr>
                <w:sz w:val="23"/>
              </w:rPr>
            </w:pPr>
            <w:r>
              <w:rPr>
                <w:sz w:val="23"/>
              </w:rPr>
              <w:t>Apr. 12</w:t>
            </w:r>
          </w:p>
        </w:tc>
        <w:tc>
          <w:tcPr>
            <w:tcW w:w="2369" w:type="dxa"/>
            <w:tcBorders>
              <w:bottom w:val="single" w:sz="4" w:space="0" w:color="auto"/>
            </w:tcBorders>
          </w:tcPr>
          <w:p w:rsidR="00186586" w:rsidRPr="005F7767" w:rsidRDefault="00B62F54" w:rsidP="005F7767">
            <w:pPr>
              <w:pStyle w:val="NoSpacing"/>
              <w:rPr>
                <w:sz w:val="23"/>
              </w:rPr>
            </w:pPr>
            <w:r>
              <w:rPr>
                <w:sz w:val="23"/>
              </w:rPr>
              <w:t>Fiction in the archives</w:t>
            </w:r>
          </w:p>
        </w:tc>
        <w:tc>
          <w:tcPr>
            <w:tcW w:w="7535" w:type="dxa"/>
            <w:tcBorders>
              <w:bottom w:val="single" w:sz="4" w:space="0" w:color="auto"/>
            </w:tcBorders>
          </w:tcPr>
          <w:p w:rsidR="00186586" w:rsidRPr="00B62F54" w:rsidRDefault="00186586" w:rsidP="00B62F54">
            <w:pPr>
              <w:pStyle w:val="NoSpacing"/>
              <w:rPr>
                <w:sz w:val="23"/>
                <w:u w:val="single"/>
              </w:rPr>
            </w:pPr>
            <w:r w:rsidRPr="005F7767">
              <w:rPr>
                <w:sz w:val="23"/>
                <w:u w:val="single"/>
              </w:rPr>
              <w:t xml:space="preserve">Joan W. Scott, “Statistical Representations of Work: The Politics of the Chamber of Commerce’s </w:t>
            </w:r>
            <w:r w:rsidRPr="005F7767">
              <w:rPr>
                <w:i/>
                <w:sz w:val="23"/>
                <w:u w:val="single"/>
              </w:rPr>
              <w:t>Statistique de l’Industrie à Paris, 1847-48</w:t>
            </w:r>
            <w:r w:rsidRPr="005F7767">
              <w:rPr>
                <w:sz w:val="23"/>
                <w:u w:val="single"/>
              </w:rPr>
              <w:t xml:space="preserve">,” from </w:t>
            </w:r>
            <w:r w:rsidRPr="005F7767">
              <w:rPr>
                <w:i/>
                <w:sz w:val="23"/>
                <w:u w:val="single"/>
              </w:rPr>
              <w:t>Work in France: Representations, Meaning, Organization, and Practice</w:t>
            </w:r>
            <w:r w:rsidRPr="005F7767">
              <w:rPr>
                <w:sz w:val="23"/>
                <w:u w:val="single"/>
              </w:rPr>
              <w:t>, eds. Steven Kaplan and Cynthia Koepp (1986), 335-363</w:t>
            </w:r>
            <w:r w:rsidRPr="005F7767">
              <w:rPr>
                <w:sz w:val="23"/>
              </w:rPr>
              <w:t xml:space="preserve">; </w:t>
            </w:r>
            <w:r w:rsidRPr="005F7767">
              <w:rPr>
                <w:sz w:val="23"/>
                <w:u w:val="single"/>
              </w:rPr>
              <w:t xml:space="preserve">Natalie Zemon Davis, “Introduction,” from </w:t>
            </w:r>
            <w:r w:rsidRPr="005F7767">
              <w:rPr>
                <w:i/>
                <w:sz w:val="23"/>
                <w:u w:val="single"/>
              </w:rPr>
              <w:t>Fiction in the Archives: Pardon Tales and Their Tellers in Sixteenth Century France</w:t>
            </w:r>
            <w:r w:rsidRPr="005F7767">
              <w:rPr>
                <w:sz w:val="23"/>
                <w:u w:val="single"/>
              </w:rPr>
              <w:t xml:space="preserve"> (Stanford, 1987), 1-6</w:t>
            </w:r>
            <w:r w:rsidR="00B62F54">
              <w:rPr>
                <w:sz w:val="23"/>
                <w:u w:val="single"/>
              </w:rPr>
              <w:t>.</w:t>
            </w:r>
          </w:p>
        </w:tc>
        <w:tc>
          <w:tcPr>
            <w:tcW w:w="2160" w:type="dxa"/>
            <w:tcBorders>
              <w:bottom w:val="single" w:sz="4" w:space="0" w:color="auto"/>
            </w:tcBorders>
          </w:tcPr>
          <w:p w:rsidR="00186586" w:rsidRPr="005F7767" w:rsidRDefault="00186586" w:rsidP="005F7767">
            <w:pPr>
              <w:pStyle w:val="NoSpacing"/>
              <w:rPr>
                <w:sz w:val="23"/>
              </w:rPr>
            </w:pPr>
          </w:p>
        </w:tc>
      </w:tr>
      <w:tr w:rsidR="00186586" w:rsidRPr="005F7767" w:rsidTr="00661B6A">
        <w:trPr>
          <w:cantSplit/>
        </w:trPr>
        <w:tc>
          <w:tcPr>
            <w:tcW w:w="1724" w:type="dxa"/>
            <w:tcBorders>
              <w:left w:val="nil"/>
              <w:right w:val="nil"/>
            </w:tcBorders>
          </w:tcPr>
          <w:p w:rsidR="00186586" w:rsidRPr="005F7767" w:rsidRDefault="00186586" w:rsidP="005F7767">
            <w:pPr>
              <w:pStyle w:val="NoSpacing"/>
              <w:rPr>
                <w:sz w:val="23"/>
              </w:rPr>
            </w:pPr>
          </w:p>
        </w:tc>
        <w:tc>
          <w:tcPr>
            <w:tcW w:w="2369" w:type="dxa"/>
            <w:tcBorders>
              <w:left w:val="nil"/>
              <w:right w:val="nil"/>
            </w:tcBorders>
          </w:tcPr>
          <w:p w:rsidR="00186586" w:rsidRPr="005F7767" w:rsidRDefault="00186586" w:rsidP="005F7767">
            <w:pPr>
              <w:pStyle w:val="NoSpacing"/>
              <w:rPr>
                <w:sz w:val="23"/>
              </w:rPr>
            </w:pPr>
          </w:p>
        </w:tc>
        <w:tc>
          <w:tcPr>
            <w:tcW w:w="7535" w:type="dxa"/>
            <w:tcBorders>
              <w:left w:val="nil"/>
              <w:right w:val="nil"/>
            </w:tcBorders>
          </w:tcPr>
          <w:p w:rsidR="00186586" w:rsidRPr="005F7767" w:rsidRDefault="00186586" w:rsidP="005F7767">
            <w:pPr>
              <w:pStyle w:val="NoSpacing"/>
              <w:rPr>
                <w:sz w:val="23"/>
              </w:rPr>
            </w:pPr>
          </w:p>
        </w:tc>
        <w:tc>
          <w:tcPr>
            <w:tcW w:w="2160" w:type="dxa"/>
            <w:tcBorders>
              <w:left w:val="nil"/>
              <w:right w:val="nil"/>
            </w:tcBorders>
          </w:tcPr>
          <w:p w:rsidR="00186586" w:rsidRPr="005F7767" w:rsidRDefault="00186586" w:rsidP="005F7767">
            <w:pPr>
              <w:pStyle w:val="NoSpacing"/>
              <w:rPr>
                <w:sz w:val="23"/>
              </w:rPr>
            </w:pPr>
          </w:p>
        </w:tc>
      </w:tr>
      <w:tr w:rsidR="00186586" w:rsidRPr="005F7767" w:rsidTr="00661B6A">
        <w:trPr>
          <w:cantSplit/>
        </w:trPr>
        <w:tc>
          <w:tcPr>
            <w:tcW w:w="1724" w:type="dxa"/>
          </w:tcPr>
          <w:p w:rsidR="00186586" w:rsidRPr="005F7767" w:rsidRDefault="00186586" w:rsidP="005F7767">
            <w:pPr>
              <w:pStyle w:val="NoSpacing"/>
              <w:rPr>
                <w:sz w:val="23"/>
              </w:rPr>
            </w:pPr>
            <w:r>
              <w:rPr>
                <w:sz w:val="23"/>
              </w:rPr>
              <w:t>Apr. 18</w:t>
            </w:r>
          </w:p>
        </w:tc>
        <w:tc>
          <w:tcPr>
            <w:tcW w:w="2369" w:type="dxa"/>
          </w:tcPr>
          <w:p w:rsidR="00186586" w:rsidRPr="005F7767" w:rsidRDefault="00186586" w:rsidP="005F7767">
            <w:pPr>
              <w:pStyle w:val="NoSpacing"/>
              <w:rPr>
                <w:sz w:val="23"/>
              </w:rPr>
            </w:pPr>
            <w:r w:rsidRPr="005F7767">
              <w:rPr>
                <w:sz w:val="23"/>
              </w:rPr>
              <w:t>Postcolonialism and subaltern studies</w:t>
            </w:r>
          </w:p>
        </w:tc>
        <w:tc>
          <w:tcPr>
            <w:tcW w:w="7535" w:type="dxa"/>
          </w:tcPr>
          <w:p w:rsidR="00186586" w:rsidRPr="005F7767" w:rsidRDefault="00186586" w:rsidP="005F7767">
            <w:pPr>
              <w:pStyle w:val="NoSpacing"/>
              <w:rPr>
                <w:sz w:val="23"/>
              </w:rPr>
            </w:pPr>
            <w:r w:rsidRPr="005F7767">
              <w:rPr>
                <w:sz w:val="23"/>
              </w:rPr>
              <w:t xml:space="preserve">Dipesh Chakrabarty, “Postcoloniality and the Artifice of History: Who Speaks for ‘Indian’ Pasts?” </w:t>
            </w:r>
            <w:r w:rsidRPr="005F7767">
              <w:rPr>
                <w:i/>
                <w:sz w:val="23"/>
              </w:rPr>
              <w:t>Representations</w:t>
            </w:r>
            <w:r w:rsidRPr="005F7767">
              <w:rPr>
                <w:sz w:val="23"/>
              </w:rPr>
              <w:t>, no. 37 (winter 1992), 1-26.</w:t>
            </w:r>
          </w:p>
        </w:tc>
        <w:tc>
          <w:tcPr>
            <w:tcW w:w="2160" w:type="dxa"/>
          </w:tcPr>
          <w:p w:rsidR="00186586" w:rsidRPr="005F7767" w:rsidRDefault="00186586" w:rsidP="005F7767">
            <w:pPr>
              <w:pStyle w:val="NoSpacing"/>
              <w:rPr>
                <w:sz w:val="23"/>
              </w:rPr>
            </w:pPr>
          </w:p>
        </w:tc>
      </w:tr>
      <w:tr w:rsidR="00186586" w:rsidRPr="005F7767" w:rsidTr="00661B6A">
        <w:trPr>
          <w:cantSplit/>
        </w:trPr>
        <w:tc>
          <w:tcPr>
            <w:tcW w:w="1724" w:type="dxa"/>
            <w:tcBorders>
              <w:bottom w:val="single" w:sz="4" w:space="0" w:color="auto"/>
            </w:tcBorders>
          </w:tcPr>
          <w:p w:rsidR="00186586" w:rsidRPr="005F7767" w:rsidRDefault="00186586" w:rsidP="005F7767">
            <w:pPr>
              <w:pStyle w:val="NoSpacing"/>
              <w:rPr>
                <w:sz w:val="23"/>
              </w:rPr>
            </w:pPr>
            <w:r>
              <w:rPr>
                <w:sz w:val="23"/>
              </w:rPr>
              <w:t>Apr. 19</w:t>
            </w:r>
          </w:p>
        </w:tc>
        <w:tc>
          <w:tcPr>
            <w:tcW w:w="2369" w:type="dxa"/>
            <w:tcBorders>
              <w:bottom w:val="single" w:sz="4" w:space="0" w:color="auto"/>
            </w:tcBorders>
          </w:tcPr>
          <w:p w:rsidR="00186586" w:rsidRPr="005F7767" w:rsidRDefault="00186586" w:rsidP="005F7767">
            <w:pPr>
              <w:pStyle w:val="NoSpacing"/>
              <w:rPr>
                <w:sz w:val="23"/>
              </w:rPr>
            </w:pPr>
            <w:r w:rsidRPr="005F7767">
              <w:rPr>
                <w:sz w:val="23"/>
              </w:rPr>
              <w:t>Public history</w:t>
            </w:r>
          </w:p>
        </w:tc>
        <w:tc>
          <w:tcPr>
            <w:tcW w:w="7535" w:type="dxa"/>
            <w:tcBorders>
              <w:bottom w:val="single" w:sz="4" w:space="0" w:color="auto"/>
            </w:tcBorders>
          </w:tcPr>
          <w:p w:rsidR="00186586" w:rsidRPr="005F7767" w:rsidRDefault="00186586" w:rsidP="005F7767">
            <w:pPr>
              <w:pStyle w:val="NoSpacing"/>
              <w:rPr>
                <w:sz w:val="23"/>
              </w:rPr>
            </w:pPr>
            <w:r w:rsidRPr="005F7767">
              <w:rPr>
                <w:sz w:val="23"/>
                <w:u w:val="single"/>
              </w:rPr>
              <w:t xml:space="preserve">Edward Linenthal, “Anatomy of a Controversy,” from </w:t>
            </w:r>
            <w:r w:rsidRPr="005F7767">
              <w:rPr>
                <w:i/>
                <w:sz w:val="23"/>
                <w:u w:val="single"/>
              </w:rPr>
              <w:t>History Wars: The Enola Gay and Other Battles for the American Past</w:t>
            </w:r>
            <w:r w:rsidRPr="005F7767">
              <w:rPr>
                <w:sz w:val="23"/>
                <w:u w:val="single"/>
              </w:rPr>
              <w:t>, eds. Edward Linenthal and Tom Engelhardt (New York, 1996), 9-62</w:t>
            </w:r>
            <w:r w:rsidRPr="005F7767">
              <w:rPr>
                <w:sz w:val="23"/>
              </w:rPr>
              <w:t>.</w:t>
            </w:r>
          </w:p>
        </w:tc>
        <w:tc>
          <w:tcPr>
            <w:tcW w:w="2160" w:type="dxa"/>
            <w:tcBorders>
              <w:bottom w:val="single" w:sz="4" w:space="0" w:color="auto"/>
            </w:tcBorders>
          </w:tcPr>
          <w:p w:rsidR="00186586" w:rsidRPr="005F7767" w:rsidRDefault="00186586" w:rsidP="005F7767">
            <w:pPr>
              <w:pStyle w:val="NoSpacing"/>
              <w:rPr>
                <w:sz w:val="23"/>
              </w:rPr>
            </w:pPr>
          </w:p>
        </w:tc>
      </w:tr>
      <w:tr w:rsidR="00186586" w:rsidRPr="005F7767" w:rsidTr="00661B6A">
        <w:trPr>
          <w:cantSplit/>
        </w:trPr>
        <w:tc>
          <w:tcPr>
            <w:tcW w:w="1724" w:type="dxa"/>
            <w:tcBorders>
              <w:left w:val="nil"/>
              <w:right w:val="nil"/>
            </w:tcBorders>
          </w:tcPr>
          <w:p w:rsidR="00186586" w:rsidRPr="005F7767" w:rsidRDefault="00186586" w:rsidP="005F7767">
            <w:pPr>
              <w:pStyle w:val="NoSpacing"/>
              <w:rPr>
                <w:sz w:val="23"/>
              </w:rPr>
            </w:pPr>
          </w:p>
        </w:tc>
        <w:tc>
          <w:tcPr>
            <w:tcW w:w="2369" w:type="dxa"/>
            <w:tcBorders>
              <w:left w:val="nil"/>
              <w:right w:val="nil"/>
            </w:tcBorders>
          </w:tcPr>
          <w:p w:rsidR="00186586" w:rsidRPr="005F7767" w:rsidRDefault="00186586" w:rsidP="005F7767">
            <w:pPr>
              <w:pStyle w:val="NoSpacing"/>
              <w:rPr>
                <w:sz w:val="23"/>
              </w:rPr>
            </w:pPr>
          </w:p>
        </w:tc>
        <w:tc>
          <w:tcPr>
            <w:tcW w:w="7535" w:type="dxa"/>
            <w:tcBorders>
              <w:left w:val="nil"/>
              <w:right w:val="nil"/>
            </w:tcBorders>
          </w:tcPr>
          <w:p w:rsidR="00186586" w:rsidRPr="005F7767" w:rsidRDefault="00186586" w:rsidP="005F7767">
            <w:pPr>
              <w:pStyle w:val="NoSpacing"/>
              <w:rPr>
                <w:sz w:val="23"/>
              </w:rPr>
            </w:pPr>
          </w:p>
        </w:tc>
        <w:tc>
          <w:tcPr>
            <w:tcW w:w="2160" w:type="dxa"/>
            <w:tcBorders>
              <w:left w:val="nil"/>
              <w:right w:val="nil"/>
            </w:tcBorders>
          </w:tcPr>
          <w:p w:rsidR="00186586" w:rsidRPr="005F7767" w:rsidRDefault="00186586" w:rsidP="005F7767">
            <w:pPr>
              <w:pStyle w:val="NoSpacing"/>
              <w:rPr>
                <w:sz w:val="23"/>
              </w:rPr>
            </w:pPr>
          </w:p>
        </w:tc>
      </w:tr>
      <w:tr w:rsidR="00186586" w:rsidRPr="005F7767" w:rsidTr="00661B6A">
        <w:trPr>
          <w:cantSplit/>
        </w:trPr>
        <w:tc>
          <w:tcPr>
            <w:tcW w:w="1724" w:type="dxa"/>
          </w:tcPr>
          <w:p w:rsidR="00186586" w:rsidRPr="005F7767" w:rsidRDefault="00186586" w:rsidP="00186586">
            <w:pPr>
              <w:pStyle w:val="NoSpacing"/>
              <w:rPr>
                <w:sz w:val="23"/>
              </w:rPr>
            </w:pPr>
            <w:r>
              <w:rPr>
                <w:sz w:val="23"/>
              </w:rPr>
              <w:t>Apr. 24</w:t>
            </w:r>
          </w:p>
        </w:tc>
        <w:tc>
          <w:tcPr>
            <w:tcW w:w="2369" w:type="dxa"/>
          </w:tcPr>
          <w:p w:rsidR="00186586" w:rsidRPr="005F7767" w:rsidRDefault="00186586" w:rsidP="005F7767">
            <w:pPr>
              <w:pStyle w:val="NoSpacing"/>
              <w:rPr>
                <w:sz w:val="23"/>
              </w:rPr>
            </w:pPr>
            <w:r w:rsidRPr="005F7767">
              <w:rPr>
                <w:sz w:val="23"/>
              </w:rPr>
              <w:t>Discussion of final papers</w:t>
            </w:r>
          </w:p>
        </w:tc>
        <w:tc>
          <w:tcPr>
            <w:tcW w:w="7535" w:type="dxa"/>
          </w:tcPr>
          <w:p w:rsidR="00186586" w:rsidRPr="005F7767" w:rsidRDefault="00186586" w:rsidP="005F7767">
            <w:pPr>
              <w:pStyle w:val="NoSpacing"/>
              <w:rPr>
                <w:sz w:val="23"/>
              </w:rPr>
            </w:pPr>
            <w:r w:rsidRPr="005F7767">
              <w:rPr>
                <w:sz w:val="23"/>
              </w:rPr>
              <w:t>none</w:t>
            </w:r>
          </w:p>
        </w:tc>
        <w:tc>
          <w:tcPr>
            <w:tcW w:w="2160" w:type="dxa"/>
          </w:tcPr>
          <w:p w:rsidR="00186586" w:rsidRPr="005F7767" w:rsidRDefault="00186586" w:rsidP="00661B6A">
            <w:pPr>
              <w:pStyle w:val="NoSpacing"/>
              <w:rPr>
                <w:sz w:val="23"/>
              </w:rPr>
            </w:pPr>
            <w:r w:rsidRPr="005F7767">
              <w:rPr>
                <w:sz w:val="23"/>
              </w:rPr>
              <w:t>Final essays due at start of class, Tues., April 2</w:t>
            </w:r>
            <w:r w:rsidR="00661B6A">
              <w:rPr>
                <w:sz w:val="23"/>
              </w:rPr>
              <w:t>4</w:t>
            </w:r>
            <w:r w:rsidRPr="005F7767">
              <w:rPr>
                <w:sz w:val="23"/>
              </w:rPr>
              <w:t>.</w:t>
            </w:r>
          </w:p>
        </w:tc>
      </w:tr>
    </w:tbl>
    <w:p w:rsidR="00661B6A" w:rsidRPr="005F7767" w:rsidRDefault="00661B6A" w:rsidP="005F7767">
      <w:pPr>
        <w:pStyle w:val="NoSpacing"/>
      </w:pPr>
    </w:p>
    <w:sectPr w:rsidR="00661B6A" w:rsidRPr="005F7767" w:rsidSect="00661B6A">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DD6" w:rsidRDefault="00941DD6">
      <w:pPr>
        <w:spacing w:after="0" w:line="240" w:lineRule="auto"/>
      </w:pPr>
      <w:r>
        <w:separator/>
      </w:r>
    </w:p>
  </w:endnote>
  <w:endnote w:type="continuationSeparator" w:id="0">
    <w:p w:rsidR="00941DD6" w:rsidRDefault="0094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EB" w:rsidRPr="00E80827" w:rsidRDefault="00EB75EB" w:rsidP="00661B6A">
    <w:pPr>
      <w:pStyle w:val="Footer"/>
      <w:jc w:val="center"/>
      <w:rPr>
        <w:sz w:val="20"/>
        <w:szCs w:val="20"/>
      </w:rPr>
    </w:pPr>
    <w:r w:rsidRPr="00E80827">
      <w:rPr>
        <w:rStyle w:val="PageNumber"/>
        <w:sz w:val="20"/>
        <w:szCs w:val="20"/>
      </w:rPr>
      <w:fldChar w:fldCharType="begin"/>
    </w:r>
    <w:r w:rsidRPr="00E80827">
      <w:rPr>
        <w:rStyle w:val="PageNumber"/>
        <w:sz w:val="20"/>
        <w:szCs w:val="20"/>
      </w:rPr>
      <w:instrText xml:space="preserve"> PAGE </w:instrText>
    </w:r>
    <w:r w:rsidRPr="00E80827">
      <w:rPr>
        <w:rStyle w:val="PageNumber"/>
        <w:sz w:val="20"/>
        <w:szCs w:val="20"/>
      </w:rPr>
      <w:fldChar w:fldCharType="separate"/>
    </w:r>
    <w:r w:rsidR="00251CB8">
      <w:rPr>
        <w:rStyle w:val="PageNumber"/>
        <w:noProof/>
        <w:sz w:val="20"/>
        <w:szCs w:val="20"/>
      </w:rPr>
      <w:t>1</w:t>
    </w:r>
    <w:r w:rsidRPr="00E80827">
      <w:rPr>
        <w:rStyle w:val="PageNumber"/>
        <w:sz w:val="20"/>
        <w:szCs w:val="20"/>
      </w:rPr>
      <w:fldChar w:fldCharType="end"/>
    </w:r>
    <w:r>
      <w:rPr>
        <w:rStyle w:val="PageNumber"/>
        <w:sz w:val="20"/>
        <w:szCs w:val="20"/>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DD6" w:rsidRDefault="00941DD6">
      <w:pPr>
        <w:spacing w:after="0" w:line="240" w:lineRule="auto"/>
      </w:pPr>
      <w:r>
        <w:separator/>
      </w:r>
    </w:p>
  </w:footnote>
  <w:footnote w:type="continuationSeparator" w:id="0">
    <w:p w:rsidR="00941DD6" w:rsidRDefault="00941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643D"/>
    <w:multiLevelType w:val="hybridMultilevel"/>
    <w:tmpl w:val="6386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FsSAMJh4XjqKAz2ViS28osnyIa4=" w:salt="FPk+/prUF42rj32Q07nN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67"/>
    <w:rsid w:val="00091A23"/>
    <w:rsid w:val="000A50F2"/>
    <w:rsid w:val="000B54B4"/>
    <w:rsid w:val="000B6145"/>
    <w:rsid w:val="00186586"/>
    <w:rsid w:val="001B2362"/>
    <w:rsid w:val="001C3C19"/>
    <w:rsid w:val="00220387"/>
    <w:rsid w:val="00251CB8"/>
    <w:rsid w:val="0026280F"/>
    <w:rsid w:val="002F186C"/>
    <w:rsid w:val="00300029"/>
    <w:rsid w:val="00326169"/>
    <w:rsid w:val="003715D3"/>
    <w:rsid w:val="003914A1"/>
    <w:rsid w:val="00395391"/>
    <w:rsid w:val="003D1670"/>
    <w:rsid w:val="0046315F"/>
    <w:rsid w:val="004655F6"/>
    <w:rsid w:val="004828B4"/>
    <w:rsid w:val="0059340F"/>
    <w:rsid w:val="005D69AE"/>
    <w:rsid w:val="005D70F1"/>
    <w:rsid w:val="005F7767"/>
    <w:rsid w:val="00661B6A"/>
    <w:rsid w:val="006F4BDE"/>
    <w:rsid w:val="006F5ADB"/>
    <w:rsid w:val="00764583"/>
    <w:rsid w:val="00774279"/>
    <w:rsid w:val="007D69C0"/>
    <w:rsid w:val="008862E8"/>
    <w:rsid w:val="008E4B70"/>
    <w:rsid w:val="00921B17"/>
    <w:rsid w:val="00941DD6"/>
    <w:rsid w:val="0094505B"/>
    <w:rsid w:val="00971A53"/>
    <w:rsid w:val="00AB0BE0"/>
    <w:rsid w:val="00AD5181"/>
    <w:rsid w:val="00AE17AF"/>
    <w:rsid w:val="00B24B58"/>
    <w:rsid w:val="00B62F54"/>
    <w:rsid w:val="00C26944"/>
    <w:rsid w:val="00C33227"/>
    <w:rsid w:val="00CA6DEC"/>
    <w:rsid w:val="00CE428F"/>
    <w:rsid w:val="00DA7E47"/>
    <w:rsid w:val="00DE5D20"/>
    <w:rsid w:val="00DF435F"/>
    <w:rsid w:val="00E0456A"/>
    <w:rsid w:val="00E81FAF"/>
    <w:rsid w:val="00EA59DB"/>
    <w:rsid w:val="00EB75EB"/>
    <w:rsid w:val="00EC6EF7"/>
    <w:rsid w:val="00F06AFF"/>
    <w:rsid w:val="00F53E20"/>
    <w:rsid w:val="00F7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F77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7767"/>
    <w:rPr>
      <w:rFonts w:ascii="Times New Roman" w:eastAsia="Times New Roman" w:hAnsi="Times New Roman" w:cs="Times New Roman"/>
      <w:sz w:val="24"/>
      <w:szCs w:val="24"/>
    </w:rPr>
  </w:style>
  <w:style w:type="character" w:styleId="PageNumber">
    <w:name w:val="page number"/>
    <w:basedOn w:val="DefaultParagraphFont"/>
    <w:rsid w:val="005F7767"/>
  </w:style>
  <w:style w:type="paragraph" w:styleId="NoSpacing">
    <w:name w:val="No Spacing"/>
    <w:uiPriority w:val="1"/>
    <w:qFormat/>
    <w:rsid w:val="005F7767"/>
    <w:pPr>
      <w:spacing w:after="0" w:line="240" w:lineRule="auto"/>
    </w:pPr>
  </w:style>
  <w:style w:type="paragraph" w:styleId="BalloonText">
    <w:name w:val="Balloon Text"/>
    <w:basedOn w:val="Normal"/>
    <w:link w:val="BalloonTextChar"/>
    <w:uiPriority w:val="99"/>
    <w:semiHidden/>
    <w:unhideWhenUsed/>
    <w:rsid w:val="001B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F77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7767"/>
    <w:rPr>
      <w:rFonts w:ascii="Times New Roman" w:eastAsia="Times New Roman" w:hAnsi="Times New Roman" w:cs="Times New Roman"/>
      <w:sz w:val="24"/>
      <w:szCs w:val="24"/>
    </w:rPr>
  </w:style>
  <w:style w:type="character" w:styleId="PageNumber">
    <w:name w:val="page number"/>
    <w:basedOn w:val="DefaultParagraphFont"/>
    <w:rsid w:val="005F7767"/>
  </w:style>
  <w:style w:type="paragraph" w:styleId="NoSpacing">
    <w:name w:val="No Spacing"/>
    <w:uiPriority w:val="1"/>
    <w:qFormat/>
    <w:rsid w:val="005F7767"/>
    <w:pPr>
      <w:spacing w:after="0" w:line="240" w:lineRule="auto"/>
    </w:pPr>
  </w:style>
  <w:style w:type="paragraph" w:styleId="BalloonText">
    <w:name w:val="Balloon Text"/>
    <w:basedOn w:val="Normal"/>
    <w:link w:val="BalloonTextChar"/>
    <w:uiPriority w:val="99"/>
    <w:semiHidden/>
    <w:unhideWhenUsed/>
    <w:rsid w:val="001B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A952-130D-4F26-B9B8-140A26ED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1498</Words>
  <Characters>8544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Stanard, Matthew G.</dc:creator>
  <cp:lastModifiedBy>Stanard, Matthew G.</cp:lastModifiedBy>
  <cp:revision>45</cp:revision>
  <cp:lastPrinted>2012-01-05T20:29:00Z</cp:lastPrinted>
  <dcterms:created xsi:type="dcterms:W3CDTF">2012-01-03T17:03:00Z</dcterms:created>
  <dcterms:modified xsi:type="dcterms:W3CDTF">2012-01-11T19:05:00Z</dcterms:modified>
</cp:coreProperties>
</file>